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313" w:lineRule="auto"/>
        <w:rPr>
          <w:rFonts w:ascii="Arial"/>
          <w:sz w:val="21"/>
        </w:rPr>
      </w:pPr>
      <w:r/>
    </w:p>
    <w:p>
      <w:pPr>
        <w:spacing w:line="313" w:lineRule="auto"/>
        <w:rPr>
          <w:rFonts w:ascii="Arial"/>
          <w:sz w:val="21"/>
        </w:rPr>
      </w:pPr>
      <w:r/>
    </w:p>
    <w:p>
      <w:pPr>
        <w:pStyle w:val="BodyText"/>
        <w:ind w:left="2333"/>
        <w:spacing w:before="91" w:line="221" w:lineRule="auto"/>
        <w:rPr>
          <w:sz w:val="28"/>
          <w:szCs w:val="28"/>
        </w:rPr>
      </w:pPr>
      <w:r>
        <w:rPr>
          <w:sz w:val="28"/>
          <w:szCs w:val="28"/>
          <w:b/>
          <w:bCs/>
          <w:spacing w:val="-11"/>
        </w:rPr>
        <w:t>前</w:t>
      </w:r>
      <w:r>
        <w:rPr>
          <w:sz w:val="28"/>
          <w:szCs w:val="28"/>
          <w:spacing w:val="23"/>
        </w:rPr>
        <w:t xml:space="preserve">    </w:t>
      </w:r>
      <w:r>
        <w:rPr>
          <w:sz w:val="28"/>
          <w:szCs w:val="28"/>
          <w:b/>
          <w:bCs/>
          <w:spacing w:val="-11"/>
        </w:rPr>
        <w:t>言</w:t>
      </w:r>
    </w:p>
    <w:p>
      <w:pPr>
        <w:spacing w:line="299" w:lineRule="auto"/>
        <w:rPr>
          <w:rFonts w:ascii="Arial"/>
          <w:sz w:val="21"/>
        </w:rPr>
      </w:pPr>
      <w:r/>
    </w:p>
    <w:p>
      <w:pPr>
        <w:spacing w:line="300" w:lineRule="auto"/>
        <w:rPr>
          <w:rFonts w:ascii="Arial"/>
          <w:sz w:val="21"/>
        </w:rPr>
      </w:pPr>
      <w:r/>
    </w:p>
    <w:p>
      <w:pPr>
        <w:pStyle w:val="BodyText"/>
        <w:ind w:firstLine="440"/>
        <w:spacing w:before="68" w:line="279" w:lineRule="auto"/>
        <w:jc w:val="both"/>
        <w:rPr/>
      </w:pPr>
      <w:r>
        <w:rPr>
          <w:spacing w:val="8"/>
        </w:rPr>
        <w:t>为适应国际技术法规与技术标准通行规则，2016年以来，</w:t>
      </w:r>
      <w:r>
        <w:rPr>
          <w:spacing w:val="18"/>
        </w:rPr>
        <w:t xml:space="preserve"> </w:t>
      </w:r>
      <w:r>
        <w:rPr>
          <w:spacing w:val="-2"/>
        </w:rPr>
        <w:t>住房城乡建设部陆续印发《关于深化工程建设标准化工作改革的</w:t>
      </w:r>
      <w:r>
        <w:rPr>
          <w:spacing w:val="5"/>
        </w:rPr>
        <w:t xml:space="preserve">  </w:t>
      </w:r>
      <w:r>
        <w:rPr>
          <w:spacing w:val="-1"/>
        </w:rPr>
        <w:t>意见》等文件，提出政府制定强制性标准、社会团体制定自愿采</w:t>
      </w:r>
      <w:r>
        <w:rPr>
          <w:spacing w:val="13"/>
        </w:rPr>
        <w:t xml:space="preserve"> </w:t>
      </w:r>
      <w:r>
        <w:rPr>
          <w:spacing w:val="-1"/>
        </w:rPr>
        <w:t>用性标准的长远目标，明确了逐步用全文强制性工程建</w:t>
      </w:r>
      <w:r>
        <w:rPr>
          <w:spacing w:val="-2"/>
        </w:rPr>
        <w:t>设规范取</w:t>
      </w:r>
      <w:r>
        <w:rPr/>
        <w:t xml:space="preserve"> </w:t>
      </w:r>
      <w:r>
        <w:rPr>
          <w:spacing w:val="1"/>
        </w:rPr>
        <w:t>代现行标准中分散的强制性条文的改革任务，逐步形成由法律、</w:t>
      </w:r>
      <w:r>
        <w:rPr>
          <w:spacing w:val="15"/>
        </w:rPr>
        <w:t xml:space="preserve"> </w:t>
      </w:r>
      <w:r>
        <w:rPr>
          <w:spacing w:val="-1"/>
        </w:rPr>
        <w:t>行政法规、部门规章中的技术性规定与全文强制性工程建设规范</w:t>
      </w:r>
      <w:r>
        <w:rPr>
          <w:spacing w:val="15"/>
        </w:rPr>
        <w:t xml:space="preserve"> </w:t>
      </w:r>
      <w:r>
        <w:rPr>
          <w:spacing w:val="-4"/>
        </w:rPr>
        <w:t>构成的“技术法规”体系。</w:t>
      </w:r>
    </w:p>
    <w:p>
      <w:pPr>
        <w:pStyle w:val="BodyText"/>
        <w:ind w:right="56" w:firstLine="440"/>
        <w:spacing w:before="1" w:line="273" w:lineRule="auto"/>
        <w:jc w:val="both"/>
        <w:rPr/>
      </w:pPr>
      <w:r>
        <w:rPr>
          <w:rFonts w:ascii="SimHei" w:hAnsi="SimHei" w:eastAsia="SimHei" w:cs="SimHei"/>
          <w:spacing w:val="-2"/>
        </w:rPr>
        <w:t>关于规范种类。</w:t>
      </w:r>
      <w:r>
        <w:rPr>
          <w:spacing w:val="-2"/>
        </w:rPr>
        <w:t>强制性工程建设规范体系覆盖工程建</w:t>
      </w:r>
      <w:r>
        <w:rPr>
          <w:spacing w:val="-3"/>
        </w:rPr>
        <w:t>设领域</w:t>
      </w:r>
      <w:r>
        <w:rPr/>
        <w:t xml:space="preserve"> </w:t>
      </w:r>
      <w:r>
        <w:rPr>
          <w:spacing w:val="6"/>
        </w:rPr>
        <w:t>各类建设工程项目，分为工程项目类规范(简称项目规范)和通</w:t>
      </w:r>
      <w:r>
        <w:rPr>
          <w:spacing w:val="9"/>
        </w:rPr>
        <w:t xml:space="preserve"> </w:t>
      </w:r>
      <w:r>
        <w:rPr>
          <w:spacing w:val="6"/>
        </w:rPr>
        <w:t>用技术类规范(简称通用规范)两种类型。项目规范以工程建设</w:t>
      </w:r>
      <w:r>
        <w:rPr>
          <w:spacing w:val="10"/>
        </w:rPr>
        <w:t xml:space="preserve"> </w:t>
      </w:r>
      <w:r>
        <w:rPr>
          <w:spacing w:val="-1"/>
        </w:rPr>
        <w:t>项目整体为对象，以项目的规模、布局、功能、性能和关键技术</w:t>
      </w:r>
      <w:r>
        <w:rPr>
          <w:spacing w:val="15"/>
        </w:rPr>
        <w:t xml:space="preserve"> </w:t>
      </w:r>
      <w:r>
        <w:rPr>
          <w:spacing w:val="-1"/>
        </w:rPr>
        <w:t>措施等五大要素为主要内容。通用规范以实现工程建设项</w:t>
      </w:r>
      <w:r>
        <w:rPr>
          <w:spacing w:val="-2"/>
        </w:rPr>
        <w:t>目功能</w:t>
      </w:r>
      <w:r>
        <w:rPr/>
        <w:t xml:space="preserve"> </w:t>
      </w:r>
      <w:r>
        <w:rPr>
          <w:spacing w:val="6"/>
        </w:rPr>
        <w:t>性能要求的各专业通用技术为对象，以勘察、设计、施工、维</w:t>
      </w:r>
      <w:r>
        <w:rPr>
          <w:spacing w:val="16"/>
        </w:rPr>
        <w:t xml:space="preserve"> </w:t>
      </w:r>
      <w:r>
        <w:rPr>
          <w:spacing w:val="-1"/>
        </w:rPr>
        <w:t>修、养护等通用技术要求为主要内容。在全文强制性工</w:t>
      </w:r>
      <w:r>
        <w:rPr>
          <w:spacing w:val="-2"/>
        </w:rPr>
        <w:t>程建设规</w:t>
      </w:r>
      <w:r>
        <w:rPr/>
        <w:t xml:space="preserve"> </w:t>
      </w:r>
      <w:r>
        <w:rPr>
          <w:spacing w:val="-1"/>
        </w:rPr>
        <w:t>范体系中，项目规范为主干，通用规范是对各类项目共性的、通</w:t>
      </w:r>
      <w:r>
        <w:rPr>
          <w:spacing w:val="13"/>
        </w:rPr>
        <w:t xml:space="preserve"> </w:t>
      </w:r>
      <w:r>
        <w:rPr>
          <w:spacing w:val="-5"/>
        </w:rPr>
        <w:t>用的专业性关键技术措施的规定。</w:t>
      </w:r>
    </w:p>
    <w:p>
      <w:pPr>
        <w:pStyle w:val="BodyText"/>
        <w:ind w:right="53" w:firstLine="440"/>
        <w:spacing w:before="53" w:line="273" w:lineRule="auto"/>
        <w:jc w:val="both"/>
        <w:rPr/>
      </w:pPr>
      <w:r>
        <w:rPr>
          <w:rFonts w:ascii="SimHei" w:hAnsi="SimHei" w:eastAsia="SimHei" w:cs="SimHei"/>
          <w:spacing w:val="-2"/>
        </w:rPr>
        <w:t>关于五大要素指标。</w:t>
      </w:r>
      <w:r>
        <w:rPr>
          <w:spacing w:val="-2"/>
        </w:rPr>
        <w:t>强制性工程建设规范中各项要素</w:t>
      </w:r>
      <w:r>
        <w:rPr>
          <w:spacing w:val="-3"/>
        </w:rPr>
        <w:t>是保障</w:t>
      </w:r>
      <w:r>
        <w:rPr/>
        <w:t xml:space="preserve"> </w:t>
      </w:r>
      <w:r>
        <w:rPr>
          <w:spacing w:val="-1"/>
        </w:rPr>
        <w:t>城乡基础设施建设体系化和效率提升的基本规定，是支</w:t>
      </w:r>
      <w:r>
        <w:rPr>
          <w:spacing w:val="-2"/>
        </w:rPr>
        <w:t>撑城乡建</w:t>
      </w:r>
      <w:r>
        <w:rPr/>
        <w:t xml:space="preserve"> </w:t>
      </w:r>
      <w:r>
        <w:rPr>
          <w:spacing w:val="-1"/>
        </w:rPr>
        <w:t>设高质量发展的基本要求。项目的规模要求主要规定建设工程项</w:t>
      </w:r>
      <w:r>
        <w:rPr>
          <w:spacing w:val="15"/>
        </w:rPr>
        <w:t xml:space="preserve"> </w:t>
      </w:r>
      <w:r>
        <w:rPr>
          <w:spacing w:val="6"/>
        </w:rPr>
        <w:t>目应具备完整的生产或服务能力，应与经济社会发</w:t>
      </w:r>
      <w:r>
        <w:rPr>
          <w:spacing w:val="5"/>
        </w:rPr>
        <w:t>展水平相适</w:t>
      </w:r>
      <w:r>
        <w:rPr/>
        <w:t xml:space="preserve"> </w:t>
      </w:r>
      <w:r>
        <w:rPr>
          <w:spacing w:val="-1"/>
        </w:rPr>
        <w:t>应。项目的布局要求主要规定产业布局、建设工程项目选址、总</w:t>
      </w:r>
      <w:r>
        <w:rPr>
          <w:spacing w:val="18"/>
        </w:rPr>
        <w:t xml:space="preserve"> </w:t>
      </w:r>
      <w:r>
        <w:rPr>
          <w:spacing w:val="-1"/>
        </w:rPr>
        <w:t>体设计、总平面布置以及与规模相协调的统筹性技术</w:t>
      </w:r>
      <w:r>
        <w:rPr>
          <w:spacing w:val="-2"/>
        </w:rPr>
        <w:t>要求，应考</w:t>
      </w:r>
      <w:r>
        <w:rPr/>
        <w:t xml:space="preserve"> </w:t>
      </w:r>
      <w:r>
        <w:rPr>
          <w:spacing w:val="-2"/>
        </w:rPr>
        <w:t>虑供给能力合理分布，提高相关设施建设的整体水平。项目的功</w:t>
      </w:r>
      <w:r>
        <w:rPr>
          <w:spacing w:val="8"/>
        </w:rPr>
        <w:t xml:space="preserve"> </w:t>
      </w:r>
      <w:r>
        <w:rPr>
          <w:spacing w:val="-1"/>
        </w:rPr>
        <w:t>能要求主要规定项目构成和用途，明确项目的基本组成单元，是</w:t>
      </w:r>
    </w:p>
    <w:p>
      <w:pPr>
        <w:spacing w:line="273" w:lineRule="auto"/>
        <w:sectPr>
          <w:footerReference w:type="default" r:id="rId1"/>
          <w:pgSz w:w="7940" w:h="11500"/>
          <w:pgMar w:top="977" w:right="974" w:bottom="1009" w:left="1039" w:header="0" w:footer="865" w:gutter="0"/>
        </w:sectPr>
        <w:rPr/>
      </w:pPr>
    </w:p>
    <w:p>
      <w:pPr>
        <w:pStyle w:val="BodyText"/>
        <w:spacing w:before="41" w:line="273" w:lineRule="auto"/>
        <w:jc w:val="both"/>
        <w:rPr/>
      </w:pPr>
      <w:r>
        <w:rPr>
          <w:spacing w:val="-2"/>
        </w:rPr>
        <w:t>项目发挥预期作用的保障。项目的性能要求主要规定建设工程项</w:t>
      </w:r>
      <w:r>
        <w:rPr>
          <w:spacing w:val="8"/>
        </w:rPr>
        <w:t xml:space="preserve">  </w:t>
      </w:r>
      <w:r>
        <w:rPr>
          <w:spacing w:val="6"/>
        </w:rPr>
        <w:t>目建设水平或技术水平的高低程度，体现建设工程项目的适用</w:t>
      </w:r>
      <w:r>
        <w:rPr>
          <w:spacing w:val="1"/>
        </w:rPr>
        <w:t xml:space="preserve">  </w:t>
      </w:r>
      <w:r>
        <w:rPr>
          <w:spacing w:val="-2"/>
        </w:rPr>
        <w:t>性，明确项目质量、安全、节能、环保、宜居环境和可持续发展</w:t>
      </w:r>
      <w:r>
        <w:rPr>
          <w:spacing w:val="8"/>
        </w:rPr>
        <w:t xml:space="preserve">  </w:t>
      </w:r>
      <w:r>
        <w:rPr>
          <w:spacing w:val="2"/>
        </w:rPr>
        <w:t>等方面应达到的基本水平。关键技术措施是实现建设项目功</w:t>
      </w:r>
      <w:r>
        <w:rPr>
          <w:spacing w:val="1"/>
        </w:rPr>
        <w:t>能、</w:t>
      </w:r>
      <w:r>
        <w:rPr/>
        <w:t xml:space="preserve"> </w:t>
      </w:r>
      <w:r>
        <w:rPr>
          <w:spacing w:val="2"/>
        </w:rPr>
        <w:t>性能要求的基本技术规定，是落实城乡建设安全、绿色、</w:t>
      </w:r>
      <w:r>
        <w:rPr>
          <w:spacing w:val="1"/>
        </w:rPr>
        <w:t>韧性、</w:t>
      </w:r>
      <w:r>
        <w:rPr/>
        <w:t xml:space="preserve"> </w:t>
      </w:r>
      <w:r>
        <w:rPr>
          <w:spacing w:val="-3"/>
        </w:rPr>
        <w:t>智慧、宜居、公平、有效率等发展目标的基本保障。</w:t>
      </w:r>
    </w:p>
    <w:p>
      <w:pPr>
        <w:pStyle w:val="BodyText"/>
        <w:ind w:firstLine="450"/>
        <w:spacing w:before="41" w:line="276" w:lineRule="auto"/>
        <w:jc w:val="both"/>
        <w:rPr>
          <w:sz w:val="16"/>
          <w:szCs w:val="16"/>
        </w:rPr>
      </w:pPr>
      <w:r>
        <w:rPr>
          <w:rFonts w:ascii="SimHei" w:hAnsi="SimHei" w:eastAsia="SimHei" w:cs="SimHei"/>
          <w:spacing w:val="-2"/>
        </w:rPr>
        <w:t>关于规范实施。</w:t>
      </w:r>
      <w:r>
        <w:rPr>
          <w:spacing w:val="-2"/>
        </w:rPr>
        <w:t>强制性工程建设规范具有强制约束力</w:t>
      </w:r>
      <w:r>
        <w:rPr>
          <w:spacing w:val="-3"/>
        </w:rPr>
        <w:t>，是保</w:t>
      </w:r>
      <w:r>
        <w:rPr/>
        <w:t xml:space="preserve"> </w:t>
      </w:r>
      <w:r>
        <w:rPr>
          <w:spacing w:val="-1"/>
        </w:rPr>
        <w:t>障人民生命财产安全、人身健康、工程安全、生态环境安全、公</w:t>
      </w:r>
      <w:r>
        <w:rPr>
          <w:spacing w:val="8"/>
        </w:rPr>
        <w:t xml:space="preserve"> </w:t>
      </w:r>
      <w:r>
        <w:rPr>
          <w:spacing w:val="-2"/>
        </w:rPr>
        <w:t>众权益和公众利益，以及促进能源资源节约利用、满足经济社会</w:t>
      </w:r>
      <w:r>
        <w:rPr>
          <w:spacing w:val="7"/>
        </w:rPr>
        <w:t xml:space="preserve">  </w:t>
      </w:r>
      <w:r>
        <w:rPr>
          <w:spacing w:val="-2"/>
        </w:rPr>
        <w:t>管理等方面的控制性底线要求，工程建设项目的勘察、设计、施</w:t>
      </w:r>
      <w:r>
        <w:rPr>
          <w:spacing w:val="7"/>
        </w:rPr>
        <w:t xml:space="preserve">  </w:t>
      </w:r>
      <w:r>
        <w:rPr>
          <w:spacing w:val="6"/>
        </w:rPr>
        <w:t>工、验收、维修、养护、拆除等建设活动全过程中必须严格执</w:t>
      </w:r>
      <w:r>
        <w:rPr>
          <w:spacing w:val="3"/>
        </w:rPr>
        <w:t xml:space="preserve">  </w:t>
      </w:r>
      <w:r>
        <w:rPr>
          <w:spacing w:val="11"/>
        </w:rPr>
        <w:t>行，其中，对于既有建筑改造项目(指不改变现有使用功能),</w:t>
      </w:r>
      <w:r>
        <w:rPr/>
        <w:t xml:space="preserve"> </w:t>
      </w:r>
      <w:r>
        <w:rPr>
          <w:spacing w:val="-1"/>
        </w:rPr>
        <w:t>当条件不具备、执行现行规范确有困难时，应不低于原建造时的</w:t>
      </w:r>
      <w:r>
        <w:rPr>
          <w:spacing w:val="5"/>
        </w:rPr>
        <w:t xml:space="preserve"> </w:t>
      </w:r>
      <w:r>
        <w:rPr>
          <w:spacing w:val="-1"/>
        </w:rPr>
        <w:t>标准。与强制性工程建设规范配套的推荐性工程建设标准是经过</w:t>
      </w:r>
      <w:r>
        <w:rPr>
          <w:spacing w:val="17"/>
        </w:rPr>
        <w:t xml:space="preserve"> </w:t>
      </w:r>
      <w:r>
        <w:rPr>
          <w:spacing w:val="-2"/>
        </w:rPr>
        <w:t>实践检验的、保障达到强制性规范要求的成熟技术措施，一般情</w:t>
      </w:r>
      <w:r>
        <w:rPr>
          <w:spacing w:val="7"/>
        </w:rPr>
        <w:t xml:space="preserve">  </w:t>
      </w:r>
      <w:r>
        <w:rPr>
          <w:spacing w:val="2"/>
        </w:rPr>
        <w:t>况下也应当执行。在满足强制性工程建设规范规定的项目功</w:t>
      </w:r>
      <w:r>
        <w:rPr>
          <w:spacing w:val="1"/>
        </w:rPr>
        <w:t>能、</w:t>
      </w:r>
      <w:r>
        <w:rPr/>
        <w:t xml:space="preserve"> </w:t>
      </w:r>
      <w:r>
        <w:rPr>
          <w:spacing w:val="2"/>
        </w:rPr>
        <w:t>性能和关键技术措施要求的前提下，可合理选用相关团体</w:t>
      </w:r>
      <w:r>
        <w:rPr>
          <w:spacing w:val="1"/>
        </w:rPr>
        <w:t>标准、</w:t>
      </w:r>
      <w:r>
        <w:rPr/>
        <w:t xml:space="preserve"> </w:t>
      </w:r>
      <w:r>
        <w:rPr>
          <w:spacing w:val="-2"/>
        </w:rPr>
        <w:t>企业标准，使项目功能、性能更加优化或达到更高水平。推荐性</w:t>
      </w:r>
      <w:r>
        <w:rPr>
          <w:spacing w:val="6"/>
        </w:rPr>
        <w:t xml:space="preserve">  </w:t>
      </w:r>
      <w:r>
        <w:rPr>
          <w:spacing w:val="-2"/>
        </w:rPr>
        <w:t>工程建设标准、团体标准、企业标准要与强制性工程建设规范协</w:t>
      </w:r>
      <w:r>
        <w:rPr>
          <w:spacing w:val="8"/>
        </w:rPr>
        <w:t xml:space="preserve">  </w:t>
      </w:r>
      <w:r>
        <w:rPr>
          <w:spacing w:val="-2"/>
        </w:rPr>
        <w:t>调配套，各项技术要求不得低于强制性工程建设规范的相关技术</w:t>
      </w:r>
      <w:r>
        <w:rPr>
          <w:spacing w:val="7"/>
        </w:rPr>
        <w:t xml:space="preserve">  </w:t>
      </w:r>
      <w:r>
        <w:rPr>
          <w:sz w:val="16"/>
          <w:szCs w:val="16"/>
          <w:spacing w:val="-5"/>
        </w:rPr>
        <w:t>水</w:t>
      </w:r>
      <w:r>
        <w:rPr>
          <w:sz w:val="16"/>
          <w:szCs w:val="16"/>
          <w:spacing w:val="-9"/>
        </w:rPr>
        <w:t xml:space="preserve"> </w:t>
      </w:r>
      <w:r>
        <w:rPr>
          <w:sz w:val="16"/>
          <w:szCs w:val="16"/>
          <w:spacing w:val="-5"/>
        </w:rPr>
        <w:t>平</w:t>
      </w:r>
      <w:r>
        <w:rPr>
          <w:sz w:val="16"/>
          <w:szCs w:val="16"/>
          <w:spacing w:val="-14"/>
        </w:rPr>
        <w:t xml:space="preserve"> </w:t>
      </w:r>
      <w:r>
        <w:rPr>
          <w:sz w:val="16"/>
          <w:szCs w:val="16"/>
          <w:spacing w:val="-5"/>
        </w:rPr>
        <w:t>。</w:t>
      </w:r>
    </w:p>
    <w:p>
      <w:pPr>
        <w:pStyle w:val="BodyText"/>
        <w:ind w:firstLine="440"/>
        <w:spacing w:before="73" w:line="273" w:lineRule="auto"/>
        <w:jc w:val="both"/>
        <w:rPr/>
      </w:pPr>
      <w:r>
        <w:rPr>
          <w:spacing w:val="1"/>
        </w:rPr>
        <w:t>强制性工程建设规范实施后，现行相关工程建设国家标准、</w:t>
      </w:r>
      <w:r>
        <w:rPr>
          <w:spacing w:val="7"/>
        </w:rPr>
        <w:t xml:space="preserve"> </w:t>
      </w:r>
      <w:r>
        <w:rPr>
          <w:spacing w:val="-1"/>
        </w:rPr>
        <w:t>行业标准中的强制性条文同时废止。现行工程建</w:t>
      </w:r>
      <w:r>
        <w:rPr>
          <w:spacing w:val="-2"/>
        </w:rPr>
        <w:t>设地方标准中的</w:t>
      </w:r>
      <w:r>
        <w:rPr/>
        <w:t xml:space="preserve">  </w:t>
      </w:r>
      <w:r>
        <w:rPr>
          <w:spacing w:val="6"/>
        </w:rPr>
        <w:t>强制性条文应及时修订，且不得低于强制性工程建设规范的规</w:t>
      </w:r>
      <w:r>
        <w:rPr>
          <w:spacing w:val="3"/>
        </w:rPr>
        <w:t xml:space="preserve">  </w:t>
      </w:r>
      <w:r>
        <w:rPr>
          <w:spacing w:val="6"/>
        </w:rPr>
        <w:t>定。现行工程建设标准(包括强制性标准和推荐性标准)中有关</w:t>
      </w:r>
      <w:r>
        <w:rPr/>
        <w:t xml:space="preserve">  </w:t>
      </w:r>
      <w:r>
        <w:rPr>
          <w:spacing w:val="-1"/>
        </w:rPr>
        <w:t>规定与强制性工程建设规范的规定不一致的，以强制性工程建设</w:t>
      </w:r>
      <w:r>
        <w:rPr>
          <w:spacing w:val="17"/>
        </w:rPr>
        <w:t xml:space="preserve"> </w:t>
      </w:r>
      <w:r>
        <w:rPr>
          <w:spacing w:val="-5"/>
        </w:rPr>
        <w:t>规范的规定为准。</w:t>
      </w:r>
    </w:p>
    <w:p>
      <w:pPr>
        <w:spacing w:line="273" w:lineRule="auto"/>
        <w:sectPr>
          <w:footerReference w:type="default" r:id="rId2"/>
          <w:pgSz w:w="7940" w:h="11500"/>
          <w:pgMar w:top="846" w:right="974" w:bottom="1009" w:left="1029" w:header="0" w:footer="867" w:gutter="0"/>
        </w:sectPr>
        <w:rPr/>
      </w:pPr>
    </w:p>
    <w:p>
      <w:pPr>
        <w:spacing w:line="348" w:lineRule="auto"/>
        <w:rPr>
          <w:rFonts w:ascii="Arial"/>
          <w:sz w:val="21"/>
        </w:rPr>
      </w:pPr>
      <w:r/>
    </w:p>
    <w:p>
      <w:pPr>
        <w:spacing w:line="349" w:lineRule="auto"/>
        <w:rPr>
          <w:rFonts w:ascii="Arial"/>
          <w:sz w:val="21"/>
        </w:rPr>
      </w:pPr>
      <w:r/>
    </w:p>
    <w:sdt>
      <w:sdtPr>
        <w:rPr>
          <w:rFonts w:ascii="SimSun" w:hAnsi="SimSun" w:eastAsia="SimSun" w:cs="SimSun"/>
          <w:sz w:val="18"/>
          <w:szCs w:val="18"/>
        </w:rPr>
        <w:docPartObj>
          <w:docPartGallery w:val="Table of Contents"/>
          <w:docPartUnique/>
        </w:docPartObj>
      </w:sdtPr>
      <w:sdtEndPr>
        <w:rPr>
          <w:rFonts w:ascii="Times New Roman" w:hAnsi="Times New Roman" w:eastAsia="Times New Roman" w:cs="Times New Roman"/>
          <w:sz w:val="18"/>
          <w:szCs w:val="18"/>
        </w:rPr>
      </w:sdtEndPr>
      <w:sdtContent>
        <w:p>
          <w:pPr>
            <w:pStyle w:val="BodyText"/>
            <w:ind w:left="2420"/>
            <w:spacing w:before="58" w:line="219" w:lineRule="auto"/>
            <w:rPr>
              <w:sz w:val="18"/>
              <w:szCs w:val="18"/>
            </w:rPr>
          </w:pPr>
          <w:bookmarkStart w:name="bookmark1" w:id="1"/>
          <w:bookmarkEnd w:id="1"/>
          <w:r>
            <w:rPr>
              <w:sz w:val="18"/>
              <w:szCs w:val="18"/>
              <w:spacing w:val="-21"/>
            </w:rPr>
            <w:t>目</w:t>
          </w:r>
          <w:r>
            <w:rPr>
              <w:sz w:val="18"/>
              <w:szCs w:val="18"/>
              <w:spacing w:val="1"/>
            </w:rPr>
            <w:t xml:space="preserve">        </w:t>
          </w:r>
          <w:r>
            <w:rPr>
              <w:sz w:val="18"/>
              <w:szCs w:val="18"/>
              <w:spacing w:val="-21"/>
            </w:rPr>
            <w:t>次</w:t>
          </w:r>
        </w:p>
        <w:p>
          <w:pPr>
            <w:spacing w:line="475" w:lineRule="auto"/>
            <w:rPr>
              <w:rFonts w:ascii="Arial"/>
              <w:sz w:val="21"/>
            </w:rPr>
          </w:pPr>
          <w:r/>
        </w:p>
        <w:p>
          <w:pPr>
            <w:pStyle w:val="BodyText"/>
            <w:spacing w:before="58" w:line="220" w:lineRule="auto"/>
            <w:tabs>
              <w:tab w:val="right" w:leader="dot" w:pos="582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2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15"/>
              </w:rPr>
              <w:t>1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3"/>
              </w:rPr>
              <w:t xml:space="preserve">     </w:t>
            </w:r>
            <w:r>
              <w:rPr>
                <w:sz w:val="18"/>
                <w:szCs w:val="18"/>
                <w:spacing w:val="-15"/>
              </w:rPr>
              <w:t>总</w:t>
            </w:r>
            <w:r>
              <w:rPr>
                <w:sz w:val="18"/>
                <w:szCs w:val="18"/>
                <w:spacing w:val="20"/>
              </w:rPr>
              <w:t xml:space="preserve"> </w:t>
            </w:r>
            <w:r>
              <w:rPr>
                <w:sz w:val="18"/>
                <w:szCs w:val="18"/>
                <w:spacing w:val="-15"/>
              </w:rPr>
              <w:t>则</w:t>
            </w:r>
            <w:r>
              <w:rPr>
                <w:sz w:val="18"/>
                <w:szCs w:val="18"/>
                <w:spacing w:val="-76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1</w:t>
            </w:r>
          </w:hyperlink>
        </w:p>
        <w:p>
          <w:pPr>
            <w:pStyle w:val="BodyText"/>
            <w:spacing w:before="103" w:line="219" w:lineRule="auto"/>
            <w:tabs>
              <w:tab w:val="right" w:leader="dot" w:pos="5845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3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8"/>
              </w:rPr>
              <w:t>2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6"/>
              </w:rPr>
              <w:t xml:space="preserve">    </w:t>
            </w:r>
            <w:r>
              <w:rPr>
                <w:sz w:val="18"/>
                <w:szCs w:val="18"/>
                <w:spacing w:val="-8"/>
              </w:rPr>
              <w:t>基</w:t>
            </w:r>
            <w:r>
              <w:rPr>
                <w:sz w:val="18"/>
                <w:szCs w:val="18"/>
                <w:spacing w:val="-29"/>
              </w:rPr>
              <w:t xml:space="preserve"> </w:t>
            </w:r>
            <w:r>
              <w:rPr>
                <w:sz w:val="18"/>
                <w:szCs w:val="18"/>
                <w:spacing w:val="-8"/>
              </w:rPr>
              <w:t>本</w:t>
            </w:r>
            <w:r>
              <w:rPr>
                <w:sz w:val="18"/>
                <w:szCs w:val="18"/>
                <w:spacing w:val="-29"/>
              </w:rPr>
              <w:t xml:space="preserve"> </w:t>
            </w:r>
            <w:r>
              <w:rPr>
                <w:sz w:val="18"/>
                <w:szCs w:val="18"/>
                <w:spacing w:val="-8"/>
              </w:rPr>
              <w:t>规</w:t>
            </w:r>
            <w:r>
              <w:rPr>
                <w:sz w:val="18"/>
                <w:szCs w:val="18"/>
                <w:spacing w:val="-26"/>
              </w:rPr>
              <w:t xml:space="preserve"> </w:t>
            </w:r>
            <w:r>
              <w:rPr>
                <w:sz w:val="18"/>
                <w:szCs w:val="18"/>
                <w:spacing w:val="-8"/>
              </w:rPr>
              <w:t>定</w:t>
            </w:r>
            <w:r>
              <w:rPr>
                <w:sz w:val="18"/>
                <w:szCs w:val="18"/>
                <w:spacing w:val="-71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7"/>
              </w:rPr>
              <w:t>2</w:t>
            </w:r>
          </w:hyperlink>
        </w:p>
        <w:p>
          <w:pPr>
            <w:pStyle w:val="BodyText"/>
            <w:ind w:left="200"/>
            <w:spacing w:before="107" w:line="219" w:lineRule="auto"/>
            <w:tabs>
              <w:tab w:val="right" w:leader="dot" w:pos="5845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4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2"/>
              </w:rPr>
              <w:t>2.1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"/>
              </w:rPr>
              <w:t xml:space="preserve">     </w:t>
            </w:r>
            <w:r>
              <w:rPr>
                <w:sz w:val="18"/>
                <w:szCs w:val="18"/>
                <w:spacing w:val="2"/>
              </w:rPr>
              <w:t>规模与布局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3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2</w:t>
            </w:r>
          </w:hyperlink>
        </w:p>
        <w:p>
          <w:pPr>
            <w:pStyle w:val="BodyText"/>
            <w:ind w:left="200"/>
            <w:spacing w:before="98" w:line="221" w:lineRule="auto"/>
            <w:tabs>
              <w:tab w:val="right" w:leader="dot" w:pos="5845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5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4"/>
              </w:rPr>
              <w:t>2.2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1"/>
              </w:rPr>
              <w:t xml:space="preserve">    </w:t>
            </w:r>
            <w:r>
              <w:rPr>
                <w:sz w:val="18"/>
                <w:szCs w:val="18"/>
                <w:spacing w:val="4"/>
              </w:rPr>
              <w:t>建设要求</w:t>
            </w:r>
            <w:r>
              <w:rPr>
                <w:sz w:val="18"/>
                <w:szCs w:val="18"/>
                <w:spacing w:val="-69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5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2</w:t>
            </w:r>
          </w:hyperlink>
        </w:p>
        <w:p>
          <w:pPr>
            <w:pStyle w:val="BodyText"/>
            <w:ind w:left="200"/>
            <w:spacing w:before="104" w:line="219" w:lineRule="auto"/>
            <w:tabs>
              <w:tab w:val="right" w:leader="dot" w:pos="5842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6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4"/>
              </w:rPr>
              <w:t>2.3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1"/>
              </w:rPr>
              <w:t xml:space="preserve">    </w:t>
            </w:r>
            <w:r>
              <w:rPr>
                <w:sz w:val="18"/>
                <w:szCs w:val="18"/>
                <w:spacing w:val="4"/>
              </w:rPr>
              <w:t>使用要求</w:t>
            </w:r>
            <w:r>
              <w:rPr>
                <w:sz w:val="18"/>
                <w:szCs w:val="18"/>
                <w:spacing w:val="-69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5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3</w:t>
            </w:r>
          </w:hyperlink>
        </w:p>
        <w:p>
          <w:pPr>
            <w:pStyle w:val="BodyText"/>
            <w:spacing w:before="107" w:line="220" w:lineRule="auto"/>
            <w:tabs>
              <w:tab w:val="right" w:leader="dot" w:pos="5840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7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3"/>
              </w:rPr>
              <w:t>3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9"/>
              </w:rPr>
              <w:t xml:space="preserve">    </w:t>
            </w:r>
            <w:r>
              <w:rPr>
                <w:sz w:val="18"/>
                <w:szCs w:val="18"/>
                <w:spacing w:val="13"/>
              </w:rPr>
              <w:t>居住环境</w:t>
            </w:r>
            <w:r>
              <w:rPr>
                <w:sz w:val="18"/>
                <w:szCs w:val="18"/>
                <w:spacing w:val="57"/>
                <w:w w:val="101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5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5</w:t>
            </w:r>
          </w:hyperlink>
        </w:p>
        <w:p>
          <w:pPr>
            <w:pStyle w:val="BodyText"/>
            <w:ind w:left="200"/>
            <w:spacing w:before="85" w:line="220" w:lineRule="auto"/>
            <w:tabs>
              <w:tab w:val="right" w:leader="dot" w:pos="5840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8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3.1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"/>
              </w:rPr>
              <w:t xml:space="preserve">     </w:t>
            </w:r>
            <w:r>
              <w:rPr>
                <w:sz w:val="18"/>
                <w:szCs w:val="18"/>
                <w:spacing w:val="-3"/>
              </w:rPr>
              <w:t>空间环境</w:t>
            </w:r>
            <w:r>
              <w:rPr>
                <w:sz w:val="18"/>
                <w:szCs w:val="18"/>
                <w:spacing w:val="14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5</w:t>
            </w:r>
          </w:hyperlink>
        </w:p>
        <w:p>
          <w:pPr>
            <w:pStyle w:val="BodyText"/>
            <w:ind w:left="200"/>
            <w:spacing w:before="106" w:line="220" w:lineRule="auto"/>
            <w:tabs>
              <w:tab w:val="right" w:leader="dot" w:pos="5842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9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3.2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3"/>
              </w:rPr>
              <w:t xml:space="preserve">     </w:t>
            </w:r>
            <w:r>
              <w:rPr>
                <w:sz w:val="18"/>
                <w:szCs w:val="18"/>
                <w:spacing w:val="-3"/>
              </w:rPr>
              <w:t>场地</w:t>
            </w:r>
            <w:r>
              <w:rPr>
                <w:sz w:val="18"/>
                <w:szCs w:val="18"/>
                <w:spacing w:val="-71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7</w:t>
            </w:r>
          </w:hyperlink>
        </w:p>
        <w:p>
          <w:pPr>
            <w:pStyle w:val="BodyText"/>
            <w:ind w:left="200"/>
            <w:spacing w:before="105" w:line="220" w:lineRule="auto"/>
            <w:tabs>
              <w:tab w:val="right" w:leader="dot" w:pos="5839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0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4"/>
              </w:rPr>
              <w:t>3.3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1"/>
              </w:rPr>
              <w:t xml:space="preserve">    </w:t>
            </w:r>
            <w:r>
              <w:rPr>
                <w:sz w:val="18"/>
                <w:szCs w:val="18"/>
                <w:spacing w:val="4"/>
              </w:rPr>
              <w:t>配套设施</w:t>
            </w:r>
            <w:r>
              <w:rPr>
                <w:sz w:val="18"/>
                <w:szCs w:val="18"/>
                <w:spacing w:val="-69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5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8</w:t>
            </w:r>
          </w:hyperlink>
        </w:p>
        <w:p>
          <w:pPr>
            <w:pStyle w:val="BodyText"/>
            <w:spacing w:before="86" w:line="220" w:lineRule="auto"/>
            <w:tabs>
              <w:tab w:val="right" w:leader="dot" w:pos="5842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1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7"/>
              </w:rPr>
              <w:t>4     </w:t>
            </w:r>
            <w:r>
              <w:rPr>
                <w:sz w:val="18"/>
                <w:szCs w:val="18"/>
                <w:spacing w:val="-7"/>
              </w:rPr>
              <w:t>建</w:t>
            </w:r>
            <w:r>
              <w:rPr>
                <w:sz w:val="18"/>
                <w:szCs w:val="18"/>
                <w:spacing w:val="-27"/>
              </w:rPr>
              <w:t xml:space="preserve"> </w:t>
            </w:r>
            <w:r>
              <w:rPr>
                <w:sz w:val="18"/>
                <w:szCs w:val="18"/>
                <w:spacing w:val="-7"/>
              </w:rPr>
              <w:t>筑</w:t>
            </w:r>
            <w:r>
              <w:rPr>
                <w:sz w:val="18"/>
                <w:szCs w:val="18"/>
                <w:spacing w:val="-25"/>
              </w:rPr>
              <w:t xml:space="preserve"> </w:t>
            </w:r>
            <w:r>
              <w:rPr>
                <w:sz w:val="18"/>
                <w:szCs w:val="18"/>
                <w:spacing w:val="-7"/>
              </w:rPr>
              <w:t>空</w:t>
            </w:r>
            <w:r>
              <w:rPr>
                <w:sz w:val="18"/>
                <w:szCs w:val="18"/>
                <w:spacing w:val="-17"/>
              </w:rPr>
              <w:t xml:space="preserve"> </w:t>
            </w:r>
            <w:r>
              <w:rPr>
                <w:sz w:val="18"/>
                <w:szCs w:val="18"/>
                <w:spacing w:val="-7"/>
              </w:rPr>
              <w:t>间</w:t>
            </w:r>
            <w:r>
              <w:rPr>
                <w:sz w:val="18"/>
                <w:szCs w:val="18"/>
                <w:spacing w:val="-77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3"/>
              </w:rPr>
              <w:t>9</w:t>
            </w:r>
          </w:hyperlink>
        </w:p>
        <w:p>
          <w:pPr>
            <w:pStyle w:val="BodyText"/>
            <w:ind w:left="200"/>
            <w:spacing w:before="95" w:line="219" w:lineRule="auto"/>
            <w:tabs>
              <w:tab w:val="right" w:leader="dot" w:pos="5852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2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3"/>
              </w:rPr>
              <w:t>4.1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0"/>
              </w:rPr>
              <w:t xml:space="preserve">    </w:t>
            </w:r>
            <w:r>
              <w:rPr>
                <w:sz w:val="18"/>
                <w:szCs w:val="18"/>
                <w:spacing w:val="3"/>
              </w:rPr>
              <w:t>套内空间</w:t>
            </w:r>
            <w:r>
              <w:rPr>
                <w:sz w:val="18"/>
                <w:szCs w:val="18"/>
                <w:spacing w:val="-78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8"/>
              </w:rPr>
              <w:t>9</w:t>
            </w:r>
          </w:hyperlink>
        </w:p>
        <w:p>
          <w:pPr>
            <w:pStyle w:val="BodyText"/>
            <w:ind w:left="200"/>
            <w:spacing w:before="116" w:line="219" w:lineRule="auto"/>
            <w:tabs>
              <w:tab w:val="right" w:leader="dot" w:pos="583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3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5"/>
              </w:rPr>
              <w:t>4.2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7"/>
              </w:rPr>
              <w:t xml:space="preserve">    </w:t>
            </w:r>
            <w:r>
              <w:rPr>
                <w:sz w:val="18"/>
                <w:szCs w:val="18"/>
                <w:spacing w:val="5"/>
              </w:rPr>
              <w:t>公共空间</w:t>
            </w:r>
            <w:r>
              <w:rPr>
                <w:sz w:val="18"/>
                <w:szCs w:val="18"/>
                <w:spacing w:val="51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59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6"/>
              </w:rPr>
              <w:t>11</w:t>
            </w:r>
          </w:hyperlink>
        </w:p>
        <w:p>
          <w:pPr>
            <w:pStyle w:val="BodyText"/>
            <w:spacing w:before="87" w:line="220" w:lineRule="auto"/>
            <w:tabs>
              <w:tab w:val="right" w:leader="dot" w:pos="581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4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10"/>
              </w:rPr>
              <w:t>5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9"/>
              </w:rPr>
              <w:t xml:space="preserve">    </w:t>
            </w:r>
            <w:r>
              <w:rPr>
                <w:sz w:val="18"/>
                <w:szCs w:val="18"/>
                <w:spacing w:val="-10"/>
              </w:rPr>
              <w:t>结</w:t>
            </w:r>
            <w:r>
              <w:rPr>
                <w:sz w:val="18"/>
                <w:szCs w:val="18"/>
                <w:spacing w:val="24"/>
              </w:rPr>
              <w:t xml:space="preserve"> </w:t>
            </w:r>
            <w:r>
              <w:rPr>
                <w:sz w:val="18"/>
                <w:szCs w:val="18"/>
                <w:spacing w:val="-10"/>
              </w:rPr>
              <w:t>构</w:t>
            </w:r>
            <w:r>
              <w:rPr>
                <w:sz w:val="18"/>
                <w:szCs w:val="18"/>
                <w:spacing w:val="-71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39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6"/>
              </w:rPr>
              <w:t>15</w:t>
            </w:r>
          </w:hyperlink>
        </w:p>
        <w:p>
          <w:pPr>
            <w:pStyle w:val="BodyText"/>
            <w:spacing w:before="105" w:line="219" w:lineRule="auto"/>
            <w:tabs>
              <w:tab w:val="right" w:leader="dot" w:pos="581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5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13"/>
              </w:rPr>
              <w:t>6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0"/>
              </w:rPr>
              <w:t xml:space="preserve">    </w:t>
            </w:r>
            <w:r>
              <w:rPr>
                <w:sz w:val="18"/>
                <w:szCs w:val="18"/>
                <w:spacing w:val="-13"/>
              </w:rPr>
              <w:t>室</w:t>
            </w:r>
            <w:r>
              <w:rPr>
                <w:sz w:val="18"/>
                <w:szCs w:val="18"/>
                <w:spacing w:val="-12"/>
              </w:rPr>
              <w:t xml:space="preserve"> </w:t>
            </w:r>
            <w:r>
              <w:rPr>
                <w:sz w:val="18"/>
                <w:szCs w:val="18"/>
                <w:spacing w:val="-13"/>
              </w:rPr>
              <w:t>内</w:t>
            </w:r>
            <w:r>
              <w:rPr>
                <w:sz w:val="18"/>
                <w:szCs w:val="18"/>
                <w:spacing w:val="-34"/>
              </w:rPr>
              <w:t xml:space="preserve"> </w:t>
            </w:r>
            <w:r>
              <w:rPr>
                <w:sz w:val="18"/>
                <w:szCs w:val="18"/>
                <w:spacing w:val="-13"/>
              </w:rPr>
              <w:t>环</w:t>
            </w:r>
            <w:r>
              <w:rPr>
                <w:sz w:val="18"/>
                <w:szCs w:val="18"/>
                <w:spacing w:val="-33"/>
              </w:rPr>
              <w:t xml:space="preserve"> </w:t>
            </w:r>
            <w:r>
              <w:rPr>
                <w:sz w:val="18"/>
                <w:szCs w:val="18"/>
                <w:spacing w:val="-13"/>
              </w:rPr>
              <w:t>境</w:t>
            </w:r>
            <w:r>
              <w:rPr>
                <w:sz w:val="18"/>
                <w:szCs w:val="18"/>
                <w:spacing w:val="-67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6"/>
              </w:rPr>
              <w:t>16</w:t>
            </w:r>
          </w:hyperlink>
        </w:p>
        <w:p>
          <w:pPr>
            <w:pStyle w:val="BodyText"/>
            <w:ind w:left="200"/>
            <w:spacing w:before="97" w:line="220" w:lineRule="auto"/>
            <w:tabs>
              <w:tab w:val="right" w:leader="dot" w:pos="581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6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8"/>
              </w:rPr>
              <w:t>6.1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"/>
              </w:rPr>
              <w:t xml:space="preserve">     </w:t>
            </w:r>
            <w:r>
              <w:rPr>
                <w:sz w:val="18"/>
                <w:szCs w:val="18"/>
                <w:spacing w:val="8"/>
              </w:rPr>
              <w:t>声环境</w:t>
            </w:r>
            <w:r>
              <w:rPr>
                <w:sz w:val="18"/>
                <w:szCs w:val="18"/>
                <w:spacing w:val="56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16</w:t>
            </w:r>
          </w:hyperlink>
        </w:p>
        <w:p>
          <w:pPr>
            <w:pStyle w:val="BodyText"/>
            <w:ind w:left="200"/>
            <w:spacing w:before="115" w:line="219" w:lineRule="auto"/>
            <w:tabs>
              <w:tab w:val="right" w:leader="dot" w:pos="580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7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3"/>
              </w:rPr>
              <w:t>6.2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9"/>
              </w:rPr>
              <w:t xml:space="preserve">    </w:t>
            </w:r>
            <w:r>
              <w:rPr>
                <w:sz w:val="18"/>
                <w:szCs w:val="18"/>
                <w:spacing w:val="3"/>
              </w:rPr>
              <w:t>光环境</w:t>
            </w:r>
            <w:r>
              <w:rPr>
                <w:sz w:val="18"/>
                <w:szCs w:val="18"/>
                <w:spacing w:val="50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17</w:t>
            </w:r>
          </w:hyperlink>
        </w:p>
        <w:p>
          <w:pPr>
            <w:pStyle w:val="BodyText"/>
            <w:ind w:left="200"/>
            <w:spacing w:before="97" w:line="220" w:lineRule="auto"/>
            <w:tabs>
              <w:tab w:val="right" w:leader="dot" w:pos="581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8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8"/>
              </w:rPr>
              <w:t>6.3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"/>
              </w:rPr>
              <w:t xml:space="preserve">     </w:t>
            </w:r>
            <w:r>
              <w:rPr>
                <w:sz w:val="18"/>
                <w:szCs w:val="18"/>
                <w:spacing w:val="8"/>
              </w:rPr>
              <w:t>热环境</w:t>
            </w:r>
            <w:r>
              <w:rPr>
                <w:sz w:val="18"/>
                <w:szCs w:val="18"/>
                <w:spacing w:val="65"/>
                <w:w w:val="101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17</w:t>
            </w:r>
          </w:hyperlink>
        </w:p>
        <w:p>
          <w:pPr>
            <w:pStyle w:val="BodyText"/>
            <w:spacing w:before="96" w:line="220" w:lineRule="auto"/>
            <w:tabs>
              <w:tab w:val="right" w:leader="dot" w:pos="581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19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9"/>
              </w:rPr>
              <w:t>7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6"/>
              </w:rPr>
              <w:t xml:space="preserve">    </w:t>
            </w:r>
            <w:r>
              <w:rPr>
                <w:sz w:val="18"/>
                <w:szCs w:val="18"/>
                <w:spacing w:val="-9"/>
              </w:rPr>
              <w:t>建</w:t>
            </w:r>
            <w:r>
              <w:rPr>
                <w:sz w:val="18"/>
                <w:szCs w:val="18"/>
                <w:spacing w:val="-33"/>
              </w:rPr>
              <w:t xml:space="preserve"> </w:t>
            </w:r>
            <w:r>
              <w:rPr>
                <w:sz w:val="18"/>
                <w:szCs w:val="18"/>
                <w:spacing w:val="-9"/>
              </w:rPr>
              <w:t>筑</w:t>
            </w:r>
            <w:r>
              <w:rPr>
                <w:sz w:val="18"/>
                <w:szCs w:val="18"/>
                <w:spacing w:val="-34"/>
              </w:rPr>
              <w:t xml:space="preserve"> </w:t>
            </w:r>
            <w:r>
              <w:rPr>
                <w:sz w:val="18"/>
                <w:szCs w:val="18"/>
                <w:spacing w:val="-9"/>
              </w:rPr>
              <w:t>设</w:t>
            </w:r>
            <w:r>
              <w:rPr>
                <w:sz w:val="18"/>
                <w:szCs w:val="18"/>
                <w:spacing w:val="-35"/>
              </w:rPr>
              <w:t xml:space="preserve"> </w:t>
            </w:r>
            <w:r>
              <w:rPr>
                <w:sz w:val="18"/>
                <w:szCs w:val="18"/>
                <w:spacing w:val="-9"/>
              </w:rPr>
              <w:t>备</w:t>
            </w:r>
            <w:r>
              <w:rPr>
                <w:sz w:val="18"/>
                <w:szCs w:val="18"/>
                <w:spacing w:val="-68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1"/>
              </w:rPr>
              <w:t>19</w:t>
            </w:r>
          </w:hyperlink>
        </w:p>
        <w:p>
          <w:pPr>
            <w:pStyle w:val="BodyText"/>
            <w:ind w:left="200"/>
            <w:spacing w:before="95" w:line="219" w:lineRule="auto"/>
            <w:tabs>
              <w:tab w:val="right" w:leader="dot" w:pos="581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20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8"/>
              </w:rPr>
              <w:t>7.1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10"/>
              </w:rPr>
              <w:t xml:space="preserve">    </w:t>
            </w:r>
            <w:r>
              <w:rPr>
                <w:sz w:val="18"/>
                <w:szCs w:val="18"/>
                <w:spacing w:val="8"/>
              </w:rPr>
              <w:t>给水排水</w:t>
            </w:r>
            <w:r>
              <w:rPr>
                <w:sz w:val="18"/>
                <w:szCs w:val="18"/>
                <w:spacing w:val="58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19</w:t>
            </w:r>
          </w:hyperlink>
        </w:p>
        <w:p>
          <w:pPr>
            <w:pStyle w:val="BodyText"/>
            <w:ind w:left="200"/>
            <w:spacing w:before="115" w:line="219" w:lineRule="auto"/>
            <w:tabs>
              <w:tab w:val="right" w:leader="dot" w:pos="5817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21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2"/>
              </w:rPr>
              <w:t>7.2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9"/>
              </w:rPr>
              <w:t xml:space="preserve">    </w:t>
            </w:r>
            <w:r>
              <w:rPr>
                <w:sz w:val="18"/>
                <w:szCs w:val="18"/>
                <w:spacing w:val="2"/>
              </w:rPr>
              <w:t>供暖、通风与空调</w:t>
            </w:r>
            <w:r>
              <w:rPr>
                <w:sz w:val="18"/>
                <w:szCs w:val="18"/>
                <w:spacing w:val="-75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19</w:t>
            </w:r>
          </w:hyperlink>
        </w:p>
        <w:p>
          <w:pPr>
            <w:pStyle w:val="BodyText"/>
            <w:ind w:left="200"/>
            <w:spacing w:before="98" w:line="221" w:lineRule="auto"/>
            <w:tabs>
              <w:tab w:val="right" w:leader="dot" w:pos="5825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22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3"/>
              </w:rPr>
              <w:t>7.3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7"/>
              </w:rPr>
              <w:t xml:space="preserve">    </w:t>
            </w:r>
            <w:r>
              <w:rPr>
                <w:sz w:val="18"/>
                <w:szCs w:val="18"/>
                <w:spacing w:val="-3"/>
              </w:rPr>
              <w:t>燃气</w:t>
            </w:r>
            <w:r>
              <w:rPr>
                <w:sz w:val="18"/>
                <w:szCs w:val="18"/>
                <w:spacing w:val="51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spacing w:val="-39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1"/>
              </w:rPr>
              <w:t>20</w:t>
            </w:r>
          </w:hyperlink>
        </w:p>
        <w:p>
          <w:pPr>
            <w:pStyle w:val="BodyText"/>
            <w:ind w:left="200"/>
            <w:spacing w:before="85" w:line="221" w:lineRule="auto"/>
            <w:tabs>
              <w:tab w:val="right" w:leader="dot" w:pos="5835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23"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-1"/>
              </w:rPr>
              <w:t>7.4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3"/>
              </w:rPr>
              <w:t xml:space="preserve">     </w:t>
            </w:r>
            <w:r>
              <w:rPr>
                <w:sz w:val="18"/>
                <w:szCs w:val="18"/>
                <w:spacing w:val="-1"/>
              </w:rPr>
              <w:t>电气</w:t>
            </w:r>
            <w:r>
              <w:rPr>
                <w:sz w:val="18"/>
                <w:szCs w:val="18"/>
                <w:spacing w:val="-72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3"/>
              </w:rPr>
              <w:t>21</w:t>
            </w:r>
          </w:hyperlink>
        </w:p>
        <w:p>
          <w:pPr>
            <w:pStyle w:val="BodyText"/>
            <w:ind w:left="200"/>
            <w:spacing w:before="94" w:line="221" w:lineRule="auto"/>
            <w:tabs>
              <w:tab w:val="right" w:leader="dot" w:pos="5815"/>
            </w:tabs>
            <w:rPr>
              <w:rFonts w:ascii="Times New Roman" w:hAnsi="Times New Roman" w:eastAsia="Times New Roman" w:cs="Times New Roman"/>
              <w:sz w:val="18"/>
              <w:szCs w:val="18"/>
            </w:rPr>
          </w:pPr>
          <w:hyperlink w:history="true" w:anchor="bookmark24"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7.5     </w:t>
            </w:r>
            <w:r>
              <w:rPr>
                <w:sz w:val="18"/>
                <w:szCs w:val="18"/>
              </w:rPr>
              <w:t>智能化</w:t>
            </w:r>
            <w:r>
              <w:rPr>
                <w:sz w:val="18"/>
                <w:szCs w:val="18"/>
                <w:spacing w:val="39"/>
              </w:rPr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rFonts w:ascii="Times New Roman" w:hAnsi="Times New Roman" w:eastAsia="Times New Roman" w:cs="Times New Roman"/>
                <w:sz w:val="18"/>
                <w:szCs w:val="18"/>
                <w:spacing w:val="8"/>
              </w:rPr>
              <w:t>22</w:t>
            </w:r>
          </w:hyperlink>
        </w:p>
      </w:sdtContent>
    </w:sdt>
    <w:p>
      <w:pPr>
        <w:spacing w:line="221" w:lineRule="auto"/>
        <w:sectPr>
          <w:footerReference w:type="default" r:id="rId3"/>
          <w:pgSz w:w="7940" w:h="11500"/>
          <w:pgMar w:top="977" w:right="1047" w:bottom="1060" w:left="1039" w:header="0" w:footer="852" w:gutter="0"/>
        </w:sectPr>
        <w:rPr>
          <w:rFonts w:ascii="Times New Roman" w:hAnsi="Times New Roman" w:eastAsia="Times New Roman" w:cs="Times New Roman"/>
          <w:sz w:val="18"/>
          <w:szCs w:val="18"/>
        </w:rPr>
      </w:pPr>
    </w:p>
    <w:p>
      <w:pPr>
        <w:spacing w:line="294" w:lineRule="auto"/>
        <w:rPr>
          <w:rFonts w:ascii="Arial"/>
          <w:sz w:val="21"/>
        </w:rPr>
      </w:pPr>
      <w:r/>
    </w:p>
    <w:p>
      <w:pPr>
        <w:spacing w:line="295" w:lineRule="auto"/>
        <w:rPr>
          <w:rFonts w:ascii="Arial"/>
          <w:sz w:val="21"/>
        </w:rPr>
      </w:pPr>
      <w:r/>
    </w:p>
    <w:p>
      <w:pPr>
        <w:pStyle w:val="BodyText"/>
        <w:ind w:left="2173"/>
        <w:spacing w:before="88" w:line="220" w:lineRule="auto"/>
        <w:outlineLvl w:val="0"/>
        <w:rPr>
          <w:sz w:val="27"/>
          <w:szCs w:val="27"/>
        </w:rPr>
      </w:pPr>
      <w:bookmarkStart w:name="bookmark2" w:id="2"/>
      <w:bookmarkEnd w:id="2"/>
      <w:r>
        <w:rPr>
          <w:sz w:val="27"/>
          <w:szCs w:val="27"/>
          <w:b/>
          <w:bCs/>
          <w:spacing w:val="-19"/>
        </w:rPr>
        <w:t>1</w:t>
      </w:r>
      <w:r>
        <w:rPr>
          <w:sz w:val="27"/>
          <w:szCs w:val="27"/>
          <w:spacing w:val="17"/>
        </w:rPr>
        <w:t xml:space="preserve">  </w:t>
      </w:r>
      <w:r>
        <w:rPr>
          <w:sz w:val="27"/>
          <w:szCs w:val="27"/>
          <w:b/>
          <w:bCs/>
          <w:spacing w:val="-19"/>
        </w:rPr>
        <w:t>总</w:t>
      </w:r>
      <w:r>
        <w:rPr>
          <w:sz w:val="27"/>
          <w:szCs w:val="27"/>
          <w:spacing w:val="12"/>
        </w:rPr>
        <w:t xml:space="preserve">    </w:t>
      </w:r>
      <w:r>
        <w:rPr>
          <w:sz w:val="27"/>
          <w:szCs w:val="27"/>
          <w:b/>
          <w:bCs/>
          <w:spacing w:val="-19"/>
        </w:rPr>
        <w:t>则</w:t>
      </w:r>
    </w:p>
    <w:p>
      <w:pPr>
        <w:spacing w:line="416" w:lineRule="auto"/>
        <w:rPr>
          <w:rFonts w:ascii="Arial"/>
          <w:sz w:val="21"/>
        </w:rPr>
      </w:pPr>
      <w:r/>
    </w:p>
    <w:p>
      <w:pPr>
        <w:pStyle w:val="BodyText"/>
        <w:ind w:right="53" w:firstLine="3"/>
        <w:spacing w:before="68" w:line="246" w:lineRule="auto"/>
        <w:rPr/>
      </w:pPr>
      <w:r>
        <w:rPr>
          <w:b/>
          <w:bCs/>
          <w:spacing w:val="2"/>
        </w:rPr>
        <w:t>1.0.1</w:t>
      </w:r>
      <w:r>
        <w:rPr>
          <w:spacing w:val="115"/>
        </w:rPr>
        <w:t xml:space="preserve"> </w:t>
      </w:r>
      <w:r>
        <w:rPr>
          <w:spacing w:val="2"/>
        </w:rPr>
        <w:t>为促进住宅建设高质量发展，保障居民的基本住房条件</w:t>
      </w:r>
      <w:r>
        <w:rPr/>
        <w:t xml:space="preserve"> </w:t>
      </w:r>
      <w:r>
        <w:rPr>
          <w:spacing w:val="-6"/>
        </w:rPr>
        <w:t>和居住环境，制定本规范。</w:t>
      </w:r>
    </w:p>
    <w:p>
      <w:pPr>
        <w:pStyle w:val="BodyText"/>
        <w:ind w:left="3"/>
        <w:spacing w:before="70" w:line="219" w:lineRule="auto"/>
        <w:rPr/>
      </w:pPr>
      <w:r>
        <w:rPr>
          <w:b/>
          <w:bCs/>
          <w:spacing w:val="-2"/>
        </w:rPr>
        <w:t>1.0.2</w:t>
      </w:r>
      <w:r>
        <w:rPr>
          <w:spacing w:val="-2"/>
        </w:rPr>
        <w:t xml:space="preserve">  城镇住宅项目建设、使用和维</w:t>
      </w:r>
      <w:r>
        <w:rPr>
          <w:spacing w:val="-3"/>
        </w:rPr>
        <w:t>护必须执行本规范。</w:t>
      </w:r>
    </w:p>
    <w:p>
      <w:pPr>
        <w:pStyle w:val="BodyText"/>
        <w:ind w:right="53" w:firstLine="3"/>
        <w:spacing w:before="52" w:line="250" w:lineRule="auto"/>
        <w:rPr/>
      </w:pPr>
      <w:r>
        <w:rPr>
          <w:b/>
          <w:bCs/>
          <w:spacing w:val="2"/>
        </w:rPr>
        <w:t>1.0.3</w:t>
      </w:r>
      <w:r>
        <w:rPr>
          <w:spacing w:val="115"/>
        </w:rPr>
        <w:t xml:space="preserve"> </w:t>
      </w:r>
      <w:r>
        <w:rPr>
          <w:spacing w:val="2"/>
        </w:rPr>
        <w:t>住宅项目建设应以安全、舒适、绿色、智慧为目标，并</w:t>
      </w:r>
      <w:r>
        <w:rPr/>
        <w:t xml:space="preserve"> </w:t>
      </w:r>
      <w:r>
        <w:rPr>
          <w:spacing w:val="-7"/>
        </w:rPr>
        <w:t>应遵循下列原则：</w:t>
      </w:r>
    </w:p>
    <w:p>
      <w:pPr>
        <w:pStyle w:val="BodyText"/>
        <w:ind w:left="403"/>
        <w:spacing w:before="71" w:line="220" w:lineRule="auto"/>
        <w:rPr/>
      </w:pPr>
      <w:r>
        <w:rPr>
          <w:b/>
          <w:bCs/>
          <w:spacing w:val="-3"/>
        </w:rPr>
        <w:t>1</w:t>
      </w:r>
      <w:r>
        <w:rPr>
          <w:spacing w:val="-3"/>
        </w:rPr>
        <w:t xml:space="preserve">  经济合理，安全耐久；</w:t>
      </w:r>
    </w:p>
    <w:p>
      <w:pPr>
        <w:pStyle w:val="BodyText"/>
        <w:ind w:left="403"/>
        <w:spacing w:before="58" w:line="219" w:lineRule="auto"/>
        <w:rPr/>
      </w:pPr>
      <w:r>
        <w:rPr>
          <w:b/>
          <w:bCs/>
          <w:spacing w:val="-6"/>
        </w:rPr>
        <w:t>2</w:t>
      </w:r>
      <w:r>
        <w:rPr>
          <w:spacing w:val="-6"/>
        </w:rPr>
        <w:t xml:space="preserve">  以人为本，健康舒适；</w:t>
      </w:r>
    </w:p>
    <w:p>
      <w:pPr>
        <w:pStyle w:val="BodyText"/>
        <w:ind w:left="403"/>
        <w:spacing w:before="62" w:line="220" w:lineRule="auto"/>
        <w:rPr/>
      </w:pPr>
      <w:r>
        <w:rPr>
          <w:b/>
          <w:bCs/>
          <w:spacing w:val="-3"/>
        </w:rPr>
        <w:t>3</w:t>
      </w:r>
      <w:r>
        <w:rPr>
          <w:spacing w:val="-3"/>
        </w:rPr>
        <w:t xml:space="preserve">  因地制宜，绿色低碳；</w:t>
      </w:r>
    </w:p>
    <w:p>
      <w:pPr>
        <w:pStyle w:val="BodyText"/>
        <w:ind w:left="403"/>
        <w:spacing w:before="58" w:line="219" w:lineRule="auto"/>
        <w:rPr/>
      </w:pPr>
      <w:r>
        <w:rPr>
          <w:b/>
          <w:bCs/>
          <w:spacing w:val="-3"/>
        </w:rPr>
        <w:t>4</w:t>
      </w:r>
      <w:r>
        <w:rPr>
          <w:spacing w:val="103"/>
        </w:rPr>
        <w:t xml:space="preserve"> </w:t>
      </w:r>
      <w:r>
        <w:rPr>
          <w:spacing w:val="-3"/>
        </w:rPr>
        <w:t>科技赋能，智慧便利。</w:t>
      </w:r>
    </w:p>
    <w:p>
      <w:pPr>
        <w:pStyle w:val="BodyText"/>
        <w:spacing w:before="80" w:line="255" w:lineRule="auto"/>
        <w:rPr/>
      </w:pPr>
      <w:r>
        <w:rPr>
          <w:spacing w:val="-2"/>
        </w:rPr>
        <w:t>1.0.4  工程建设所采用的技术方法和措施</w:t>
      </w:r>
      <w:r>
        <w:rPr>
          <w:spacing w:val="-3"/>
        </w:rPr>
        <w:t>是否符合本规范要求，</w:t>
      </w:r>
      <w:r>
        <w:rPr/>
        <w:t xml:space="preserve"> </w:t>
      </w:r>
      <w:r>
        <w:rPr>
          <w:spacing w:val="-1"/>
        </w:rPr>
        <w:t>由相关责任主体判定。其中，创新性的技术方法</w:t>
      </w:r>
      <w:r>
        <w:rPr>
          <w:spacing w:val="-2"/>
        </w:rPr>
        <w:t>和措施，应进行</w:t>
      </w:r>
      <w:r>
        <w:rPr/>
        <w:t xml:space="preserve"> </w:t>
      </w:r>
      <w:r>
        <w:rPr>
          <w:spacing w:val="-5"/>
        </w:rPr>
        <w:t>论证并符合本规范中有关性能的要求。</w:t>
      </w:r>
    </w:p>
    <w:p>
      <w:pPr>
        <w:pStyle w:val="BodyText"/>
        <w:spacing w:before="61" w:line="219" w:lineRule="auto"/>
        <w:rPr/>
      </w:pPr>
      <w:r>
        <w:rPr>
          <w:spacing w:val="-2"/>
        </w:rPr>
        <w:t>1.0.5  违反本规范规定，依照有关法律法规的规定予以处罚。</w:t>
      </w:r>
    </w:p>
    <w:p>
      <w:pPr>
        <w:spacing w:line="219" w:lineRule="auto"/>
        <w:sectPr>
          <w:footerReference w:type="default" r:id="rId4"/>
          <w:pgSz w:w="7940" w:h="11500"/>
          <w:pgMar w:top="977" w:right="987" w:bottom="1009" w:left="1039" w:header="0" w:footer="865" w:gutter="0"/>
        </w:sectPr>
        <w:rPr/>
      </w:pPr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2" w:lineRule="auto"/>
        <w:rPr>
          <w:rFonts w:ascii="Arial"/>
          <w:sz w:val="21"/>
        </w:rPr>
      </w:pPr>
      <w:r/>
    </w:p>
    <w:p>
      <w:pPr>
        <w:pStyle w:val="BodyText"/>
        <w:ind w:left="1973"/>
        <w:spacing w:before="91" w:line="219" w:lineRule="auto"/>
        <w:outlineLvl w:val="0"/>
        <w:rPr>
          <w:sz w:val="28"/>
          <w:szCs w:val="28"/>
        </w:rPr>
      </w:pPr>
      <w:bookmarkStart w:name="bookmark25" w:id="3"/>
      <w:bookmarkEnd w:id="3"/>
      <w:bookmarkStart w:name="bookmark3" w:id="4"/>
      <w:bookmarkEnd w:id="4"/>
      <w:r>
        <w:rPr>
          <w:sz w:val="28"/>
          <w:szCs w:val="28"/>
          <w:b/>
          <w:bCs/>
          <w:spacing w:val="-13"/>
        </w:rPr>
        <w:t>2</w:t>
      </w:r>
      <w:r>
        <w:rPr>
          <w:sz w:val="28"/>
          <w:szCs w:val="28"/>
          <w:spacing w:val="114"/>
        </w:rPr>
        <w:t xml:space="preserve"> </w:t>
      </w:r>
      <w:r>
        <w:rPr>
          <w:sz w:val="28"/>
          <w:szCs w:val="28"/>
          <w:b/>
          <w:bCs/>
          <w:spacing w:val="-13"/>
        </w:rPr>
        <w:t>基</w:t>
      </w:r>
      <w:r>
        <w:rPr>
          <w:sz w:val="28"/>
          <w:szCs w:val="28"/>
          <w:spacing w:val="12"/>
        </w:rPr>
        <w:t xml:space="preserve"> </w:t>
      </w:r>
      <w:r>
        <w:rPr>
          <w:sz w:val="28"/>
          <w:szCs w:val="28"/>
          <w:b/>
          <w:bCs/>
          <w:spacing w:val="-13"/>
        </w:rPr>
        <w:t>本</w:t>
      </w:r>
      <w:r>
        <w:rPr>
          <w:sz w:val="28"/>
          <w:szCs w:val="28"/>
          <w:spacing w:val="13"/>
        </w:rPr>
        <w:t xml:space="preserve"> </w:t>
      </w:r>
      <w:r>
        <w:rPr>
          <w:sz w:val="28"/>
          <w:szCs w:val="28"/>
          <w:b/>
          <w:bCs/>
          <w:spacing w:val="-13"/>
        </w:rPr>
        <w:t>规</w:t>
      </w:r>
      <w:r>
        <w:rPr>
          <w:sz w:val="28"/>
          <w:szCs w:val="28"/>
          <w:spacing w:val="18"/>
        </w:rPr>
        <w:t xml:space="preserve"> </w:t>
      </w:r>
      <w:r>
        <w:rPr>
          <w:sz w:val="28"/>
          <w:szCs w:val="28"/>
          <w:b/>
          <w:bCs/>
          <w:spacing w:val="-13"/>
        </w:rPr>
        <w:t>定</w:t>
      </w:r>
    </w:p>
    <w:p>
      <w:pPr>
        <w:spacing w:line="266" w:lineRule="auto"/>
        <w:rPr>
          <w:rFonts w:ascii="Arial"/>
          <w:sz w:val="21"/>
        </w:rPr>
      </w:pPr>
      <w:r/>
    </w:p>
    <w:p>
      <w:pPr>
        <w:pStyle w:val="BodyText"/>
        <w:ind w:left="2152"/>
        <w:spacing w:before="68" w:line="219" w:lineRule="auto"/>
        <w:outlineLvl w:val="1"/>
        <w:rPr/>
      </w:pPr>
      <w:bookmarkStart w:name="bookmark4" w:id="5"/>
      <w:bookmarkEnd w:id="5"/>
      <w:r>
        <w:rPr>
          <w:b/>
          <w:bCs/>
          <w:spacing w:val="-3"/>
        </w:rPr>
        <w:t>2.1</w:t>
      </w:r>
      <w:r>
        <w:rPr>
          <w:spacing w:val="-3"/>
        </w:rPr>
        <w:t xml:space="preserve">  </w:t>
      </w:r>
      <w:r>
        <w:rPr>
          <w:b/>
          <w:bCs/>
          <w:spacing w:val="-3"/>
        </w:rPr>
        <w:t>规模与布局</w:t>
      </w:r>
    </w:p>
    <w:p>
      <w:pPr>
        <w:pStyle w:val="BodyText"/>
        <w:ind w:right="89" w:firstLine="3"/>
        <w:spacing w:before="233" w:line="246" w:lineRule="auto"/>
        <w:rPr/>
      </w:pPr>
      <w:r>
        <w:rPr>
          <w:b/>
          <w:bCs/>
          <w:spacing w:val="3"/>
        </w:rPr>
        <w:t>2.1.1</w:t>
      </w:r>
      <w:r>
        <w:rPr>
          <w:spacing w:val="88"/>
        </w:rPr>
        <w:t xml:space="preserve"> </w:t>
      </w:r>
      <w:r>
        <w:rPr>
          <w:spacing w:val="3"/>
        </w:rPr>
        <w:t>住宅项目建设规模应根据所在地经济</w:t>
      </w:r>
      <w:r>
        <w:rPr>
          <w:spacing w:val="2"/>
        </w:rPr>
        <w:t>社会发展水平、市</w:t>
      </w:r>
      <w:r>
        <w:rPr/>
        <w:t xml:space="preserve"> </w:t>
      </w:r>
      <w:r>
        <w:rPr>
          <w:spacing w:val="-3"/>
        </w:rPr>
        <w:t>场需求和配套条件等，经调查研究、科学预测后合理确定。</w:t>
      </w:r>
    </w:p>
    <w:p>
      <w:pPr>
        <w:pStyle w:val="BodyText"/>
        <w:ind w:right="16" w:firstLine="3"/>
        <w:spacing w:before="72" w:line="245" w:lineRule="auto"/>
        <w:rPr/>
      </w:pPr>
      <w:r>
        <w:rPr>
          <w:b/>
          <w:bCs/>
          <w:spacing w:val="-2"/>
        </w:rPr>
        <w:t>2.1.2</w:t>
      </w:r>
      <w:r>
        <w:rPr>
          <w:spacing w:val="-2"/>
        </w:rPr>
        <w:t xml:space="preserve">  住宅项目应包括一栋或多栋住宅</w:t>
      </w:r>
      <w:r>
        <w:rPr>
          <w:spacing w:val="-3"/>
        </w:rPr>
        <w:t>建筑。住宅项目较大时，</w:t>
      </w:r>
      <w:r>
        <w:rPr/>
        <w:t xml:space="preserve"> </w:t>
      </w:r>
      <w:r>
        <w:rPr>
          <w:spacing w:val="-4"/>
        </w:rPr>
        <w:t>应以城镇道路划分形成若干居住街坊。</w:t>
      </w:r>
    </w:p>
    <w:p>
      <w:pPr>
        <w:pStyle w:val="BodyText"/>
        <w:ind w:firstLine="3"/>
        <w:spacing w:before="60" w:line="251" w:lineRule="auto"/>
        <w:rPr/>
      </w:pPr>
      <w:r>
        <w:rPr>
          <w:b/>
          <w:bCs/>
          <w:spacing w:val="-2"/>
        </w:rPr>
        <w:t>2.1.3</w:t>
      </w:r>
      <w:r>
        <w:rPr>
          <w:spacing w:val="-2"/>
        </w:rPr>
        <w:t xml:space="preserve">  住宅项目应以满足居住需求为目的，合理布局住宅建筑、</w:t>
      </w:r>
      <w:r>
        <w:rPr>
          <w:spacing w:val="6"/>
        </w:rPr>
        <w:t xml:space="preserve"> </w:t>
      </w:r>
      <w:r>
        <w:rPr>
          <w:spacing w:val="-3"/>
        </w:rPr>
        <w:t>工程设施及管线、场地和配套设施，并应符合下列规定：</w:t>
      </w:r>
    </w:p>
    <w:p>
      <w:pPr>
        <w:pStyle w:val="BodyText"/>
        <w:ind w:right="81" w:firstLine="420"/>
        <w:spacing w:before="60" w:line="275" w:lineRule="auto"/>
        <w:rPr>
          <w:sz w:val="16"/>
          <w:szCs w:val="16"/>
        </w:rPr>
      </w:pPr>
      <w:r>
        <w:rPr>
          <w:spacing w:val="12"/>
        </w:rPr>
        <w:t>1</w:t>
      </w:r>
      <w:r>
        <w:rPr>
          <w:spacing w:val="4"/>
        </w:rPr>
        <w:t xml:space="preserve">  </w:t>
      </w:r>
      <w:r>
        <w:rPr>
          <w:spacing w:val="12"/>
        </w:rPr>
        <w:t>住宅建筑应由一个或多个供家庭居住使用的独立</w:t>
      </w:r>
      <w:r>
        <w:rPr>
          <w:spacing w:val="11"/>
        </w:rPr>
        <w:t>空间</w:t>
      </w:r>
      <w:r>
        <w:rPr/>
        <w:t xml:space="preserve"> </w:t>
      </w:r>
      <w:r>
        <w:rPr>
          <w:sz w:val="16"/>
          <w:szCs w:val="16"/>
          <w:spacing w:val="-5"/>
        </w:rPr>
        <w:t>组 成</w:t>
      </w:r>
      <w:r>
        <w:rPr>
          <w:sz w:val="16"/>
          <w:szCs w:val="16"/>
          <w:spacing w:val="-8"/>
        </w:rPr>
        <w:t xml:space="preserve"> </w:t>
      </w:r>
      <w:r>
        <w:rPr>
          <w:sz w:val="16"/>
          <w:szCs w:val="16"/>
          <w:spacing w:val="-5"/>
        </w:rPr>
        <w:t>。</w:t>
      </w:r>
    </w:p>
    <w:p>
      <w:pPr>
        <w:pStyle w:val="BodyText"/>
        <w:ind w:right="92" w:firstLine="420"/>
        <w:spacing w:before="78" w:line="260" w:lineRule="auto"/>
        <w:rPr/>
      </w:pPr>
      <w:r>
        <w:rPr>
          <w:spacing w:val="3"/>
        </w:rPr>
        <w:t>2</w:t>
      </w:r>
      <w:r>
        <w:rPr>
          <w:spacing w:val="104"/>
        </w:rPr>
        <w:t xml:space="preserve"> </w:t>
      </w:r>
      <w:r>
        <w:rPr>
          <w:spacing w:val="3"/>
        </w:rPr>
        <w:t>工程设施及管线应包括给水排水系统及设备、供电系统</w:t>
      </w:r>
      <w:r>
        <w:rPr/>
        <w:t xml:space="preserve"> </w:t>
      </w:r>
      <w:r>
        <w:rPr>
          <w:spacing w:val="-2"/>
        </w:rPr>
        <w:t>及设备、通信和有线广播电视等智能化系统及设备、消防设施设</w:t>
      </w:r>
      <w:r>
        <w:rPr>
          <w:spacing w:val="4"/>
        </w:rPr>
        <w:t xml:space="preserve"> </w:t>
      </w:r>
      <w:r>
        <w:rPr>
          <w:spacing w:val="-2"/>
        </w:rPr>
        <w:t>备等；采暖地区尚应有供暖系统及设备；有燃气供应的地区尚应</w:t>
      </w:r>
      <w:r>
        <w:rPr>
          <w:spacing w:val="3"/>
        </w:rPr>
        <w:t xml:space="preserve"> </w:t>
      </w:r>
      <w:r>
        <w:rPr>
          <w:spacing w:val="-4"/>
        </w:rPr>
        <w:t>有燃气系统及设备。</w:t>
      </w:r>
    </w:p>
    <w:p>
      <w:pPr>
        <w:pStyle w:val="BodyText"/>
        <w:ind w:left="420"/>
        <w:spacing w:before="68" w:line="219" w:lineRule="auto"/>
        <w:rPr/>
      </w:pPr>
      <w:r>
        <w:rPr>
          <w:spacing w:val="-3"/>
        </w:rPr>
        <w:t>3</w:t>
      </w:r>
      <w:r>
        <w:rPr>
          <w:spacing w:val="118"/>
        </w:rPr>
        <w:t xml:space="preserve"> </w:t>
      </w:r>
      <w:r>
        <w:rPr>
          <w:spacing w:val="-3"/>
        </w:rPr>
        <w:t>场地应包括道路、绿地、非机动车停车场所等。</w:t>
      </w:r>
    </w:p>
    <w:p>
      <w:pPr>
        <w:pStyle w:val="BodyText"/>
        <w:ind w:right="72" w:firstLine="420"/>
        <w:spacing w:before="72" w:line="273" w:lineRule="auto"/>
        <w:rPr>
          <w:sz w:val="16"/>
          <w:szCs w:val="16"/>
        </w:rPr>
      </w:pPr>
      <w:r>
        <w:rPr>
          <w:spacing w:val="3"/>
        </w:rPr>
        <w:t>4</w:t>
      </w:r>
      <w:r>
        <w:rPr>
          <w:spacing w:val="9"/>
        </w:rPr>
        <w:t xml:space="preserve">  </w:t>
      </w:r>
      <w:r>
        <w:rPr>
          <w:spacing w:val="3"/>
        </w:rPr>
        <w:t>配套设施应包括公共管理与公共服务设施、商业服务设</w:t>
      </w:r>
      <w:r>
        <w:rPr/>
        <w:t xml:space="preserve"> </w:t>
      </w:r>
      <w:r>
        <w:rPr>
          <w:spacing w:val="-1"/>
        </w:rPr>
        <w:t>施、市政公用设施、交通场站设施及社区服务设施、便</w:t>
      </w:r>
      <w:r>
        <w:rPr>
          <w:spacing w:val="-2"/>
        </w:rPr>
        <w:t>民服务设</w:t>
      </w:r>
      <w:r>
        <w:rPr/>
        <w:t xml:space="preserve"> </w:t>
      </w:r>
      <w:r>
        <w:rPr>
          <w:sz w:val="16"/>
          <w:szCs w:val="16"/>
          <w:spacing w:val="-5"/>
        </w:rPr>
        <w:t>施 等</w:t>
      </w:r>
      <w:r>
        <w:rPr>
          <w:sz w:val="16"/>
          <w:szCs w:val="16"/>
          <w:spacing w:val="-8"/>
        </w:rPr>
        <w:t xml:space="preserve"> </w:t>
      </w:r>
      <w:r>
        <w:rPr>
          <w:sz w:val="16"/>
          <w:szCs w:val="16"/>
          <w:spacing w:val="-5"/>
        </w:rPr>
        <w:t>。</w:t>
      </w:r>
    </w:p>
    <w:p>
      <w:pPr>
        <w:pStyle w:val="BodyText"/>
        <w:ind w:right="91" w:firstLine="3"/>
        <w:spacing w:before="82" w:line="274" w:lineRule="auto"/>
        <w:rPr/>
      </w:pPr>
      <w:r>
        <w:rPr>
          <w:b/>
          <w:bCs/>
          <w:spacing w:val="2"/>
        </w:rPr>
        <w:t>2.1.4</w:t>
      </w:r>
      <w:r>
        <w:rPr>
          <w:spacing w:val="107"/>
        </w:rPr>
        <w:t xml:space="preserve"> </w:t>
      </w:r>
      <w:r>
        <w:rPr>
          <w:spacing w:val="2"/>
        </w:rPr>
        <w:t>住宅建筑应根据所在地区气候、地质及地形地貌等自然</w:t>
      </w:r>
      <w:r>
        <w:rPr/>
        <w:t xml:space="preserve"> </w:t>
      </w:r>
      <w:r>
        <w:rPr>
          <w:spacing w:val="-5"/>
        </w:rPr>
        <w:t>条件，因地制宜、合理布局。</w:t>
      </w:r>
    </w:p>
    <w:p>
      <w:pPr>
        <w:pStyle w:val="BodyText"/>
        <w:ind w:left="2113"/>
        <w:spacing w:before="165" w:line="221" w:lineRule="auto"/>
        <w:outlineLvl w:val="1"/>
        <w:rPr/>
      </w:pPr>
      <w:bookmarkStart w:name="bookmark5" w:id="6"/>
      <w:bookmarkEnd w:id="6"/>
      <w:r>
        <w:rPr>
          <w:b/>
          <w:bCs/>
          <w:spacing w:val="-7"/>
        </w:rPr>
        <w:t>2.2</w:t>
      </w:r>
      <w:r>
        <w:rPr>
          <w:spacing w:val="4"/>
        </w:rPr>
        <w:t xml:space="preserve">  </w:t>
      </w:r>
      <w:r>
        <w:rPr>
          <w:b/>
          <w:bCs/>
          <w:spacing w:val="-7"/>
        </w:rPr>
        <w:t>建</w:t>
      </w:r>
      <w:r>
        <w:rPr>
          <w:spacing w:val="8"/>
        </w:rPr>
        <w:t xml:space="preserve"> </w:t>
      </w:r>
      <w:r>
        <w:rPr>
          <w:b/>
          <w:bCs/>
          <w:spacing w:val="-7"/>
        </w:rPr>
        <w:t>设</w:t>
      </w:r>
      <w:r>
        <w:rPr>
          <w:spacing w:val="-7"/>
        </w:rPr>
        <w:t xml:space="preserve"> </w:t>
      </w:r>
      <w:r>
        <w:rPr>
          <w:b/>
          <w:bCs/>
          <w:spacing w:val="-7"/>
        </w:rPr>
        <w:t>要</w:t>
      </w:r>
      <w:r>
        <w:rPr>
          <w:spacing w:val="7"/>
        </w:rPr>
        <w:t xml:space="preserve"> </w:t>
      </w:r>
      <w:r>
        <w:rPr>
          <w:b/>
          <w:bCs/>
          <w:spacing w:val="-7"/>
        </w:rPr>
        <w:t>求</w:t>
      </w:r>
    </w:p>
    <w:p>
      <w:pPr>
        <w:pStyle w:val="BodyText"/>
        <w:ind w:right="92"/>
        <w:spacing w:before="230" w:line="249" w:lineRule="auto"/>
        <w:rPr/>
      </w:pPr>
      <w:r>
        <w:rPr>
          <w:spacing w:val="2"/>
        </w:rPr>
        <w:t>2.2.1  住宅项目不应在有滑坡、泥石流、山洪、地震断裂带等</w:t>
      </w:r>
      <w:r>
        <w:rPr>
          <w:spacing w:val="12"/>
        </w:rPr>
        <w:t xml:space="preserve"> </w:t>
      </w:r>
      <w:r>
        <w:rPr>
          <w:spacing w:val="-2"/>
        </w:rPr>
        <w:t>自然灾害威胁的地段选址建设，且与危险化学品、易燃易爆品等</w:t>
      </w:r>
      <w:r>
        <w:rPr>
          <w:spacing w:val="12"/>
        </w:rPr>
        <w:t xml:space="preserve"> </w:t>
      </w:r>
      <w:r>
        <w:rPr>
          <w:spacing w:val="-5"/>
        </w:rPr>
        <w:t>危险源的距离应符合有关安全规定。</w:t>
      </w:r>
    </w:p>
    <w:p>
      <w:pPr>
        <w:pStyle w:val="BodyText"/>
        <w:spacing w:before="82" w:line="220" w:lineRule="auto"/>
        <w:rPr/>
      </w:pPr>
      <w:r>
        <w:rPr>
          <w:spacing w:val="-2"/>
        </w:rPr>
        <w:t>2.2.2  住宅项目建设应合理、有效利用土地和空间。</w:t>
      </w:r>
    </w:p>
    <w:p>
      <w:pPr>
        <w:spacing w:line="220" w:lineRule="auto"/>
        <w:sectPr>
          <w:footerReference w:type="default" r:id="rId5"/>
          <w:pgSz w:w="7940" w:h="11500"/>
          <w:pgMar w:top="977" w:right="967" w:bottom="1009" w:left="1029" w:header="0" w:footer="865" w:gutter="0"/>
        </w:sectPr>
        <w:rPr/>
      </w:pPr>
    </w:p>
    <w:p>
      <w:pPr>
        <w:pStyle w:val="BodyText"/>
        <w:ind w:left="7"/>
        <w:spacing w:before="40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5"/>
        </w:rPr>
        <w:t>2.2.3</w:t>
      </w:r>
      <w:r>
        <w:rPr>
          <w:sz w:val="20"/>
          <w:szCs w:val="20"/>
          <w:spacing w:val="5"/>
        </w:rPr>
        <w:t xml:space="preserve">  住宅项目应满足无障碍设计原则。</w:t>
      </w:r>
    </w:p>
    <w:p>
      <w:pPr>
        <w:pStyle w:val="BodyText"/>
        <w:ind w:left="5" w:firstLine="2"/>
        <w:spacing w:before="91" w:line="244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7"/>
        </w:rPr>
        <w:t>2.2.4</w:t>
      </w:r>
      <w:r>
        <w:rPr>
          <w:sz w:val="20"/>
          <w:szCs w:val="20"/>
          <w:spacing w:val="7"/>
        </w:rPr>
        <w:t xml:space="preserve">  住宅项目中的园林小品、围墙等附属设施应采取防坍塌、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  <w:spacing w:val="5"/>
        </w:rPr>
        <w:t>防坠落、防风揭等安全措施。</w:t>
      </w:r>
    </w:p>
    <w:p>
      <w:pPr>
        <w:pStyle w:val="BodyText"/>
        <w:ind w:left="5"/>
        <w:spacing w:before="82" w:line="252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2"/>
        </w:rPr>
        <w:t>2.2.5      </w:t>
      </w:r>
      <w:r>
        <w:rPr>
          <w:sz w:val="20"/>
          <w:szCs w:val="20"/>
          <w:spacing w:val="12"/>
        </w:rPr>
        <w:t>住宅建筑应按套型设计，每套住宅应有卧室、起居室、</w:t>
      </w:r>
      <w:r>
        <w:rPr>
          <w:sz w:val="20"/>
          <w:szCs w:val="20"/>
          <w:spacing w:val="18"/>
        </w:rPr>
        <w:t xml:space="preserve"> </w:t>
      </w:r>
      <w:r>
        <w:rPr>
          <w:sz w:val="20"/>
          <w:szCs w:val="20"/>
          <w:spacing w:val="6"/>
        </w:rPr>
        <w:t>厨房和卫生间等基本功能空间。</w:t>
      </w:r>
    </w:p>
    <w:p>
      <w:pPr>
        <w:pStyle w:val="BodyText"/>
        <w:ind w:left="5" w:right="91" w:firstLine="2"/>
        <w:spacing w:before="83" w:line="262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3"/>
        </w:rPr>
        <w:t>2.2.6</w:t>
      </w:r>
      <w:r>
        <w:rPr>
          <w:sz w:val="20"/>
          <w:szCs w:val="20"/>
          <w:spacing w:val="13"/>
        </w:rPr>
        <w:t xml:space="preserve">  住宅建筑的设计工作年限应符合表2.2.6的规定，在规</w:t>
      </w:r>
      <w:r>
        <w:rPr>
          <w:sz w:val="20"/>
          <w:szCs w:val="20"/>
          <w:spacing w:val="5"/>
        </w:rPr>
        <w:t xml:space="preserve"> </w:t>
      </w:r>
      <w:r>
        <w:rPr>
          <w:sz w:val="20"/>
          <w:szCs w:val="20"/>
          <w:spacing w:val="7"/>
        </w:rPr>
        <w:t>定设计工作年限内应满足安全性、适用性和耐久性要求。</w:t>
      </w:r>
    </w:p>
    <w:p>
      <w:pPr>
        <w:ind w:left="1537"/>
        <w:spacing w:before="138" w:line="222" w:lineRule="auto"/>
        <w:rPr>
          <w:rFonts w:ascii="SimHei" w:hAnsi="SimHei" w:eastAsia="SimHei" w:cs="SimHei"/>
          <w:sz w:val="20"/>
          <w:szCs w:val="20"/>
        </w:rPr>
      </w:pP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表2.2.6</w:t>
      </w:r>
      <w:r>
        <w:rPr>
          <w:rFonts w:ascii="SimHei" w:hAnsi="SimHei" w:eastAsia="SimHei" w:cs="SimHei"/>
          <w:sz w:val="20"/>
          <w:szCs w:val="20"/>
          <w:spacing w:val="73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住宅建筑的设计工作年限</w:t>
      </w:r>
    </w:p>
    <w:p>
      <w:pPr>
        <w:spacing w:line="40" w:lineRule="exact"/>
        <w:rPr/>
      </w:pPr>
      <w:r/>
    </w:p>
    <w:tbl>
      <w:tblPr>
        <w:tblStyle w:val="TableNormal"/>
        <w:tblW w:w="587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963"/>
        <w:gridCol w:w="1108"/>
        <w:gridCol w:w="3799"/>
      </w:tblGrid>
      <w:tr>
        <w:trPr>
          <w:trHeight w:val="313" w:hRule="atLeast"/>
        </w:trPr>
        <w:tc>
          <w:tcPr>
            <w:tcW w:w="2071" w:type="dxa"/>
            <w:vAlign w:val="top"/>
            <w:gridSpan w:val="2"/>
          </w:tcPr>
          <w:p>
            <w:pPr>
              <w:pStyle w:val="TableText"/>
              <w:ind w:left="864"/>
              <w:spacing w:before="81" w:line="219" w:lineRule="auto"/>
              <w:rPr/>
            </w:pPr>
            <w:r>
              <w:rPr>
                <w:spacing w:val="-2"/>
              </w:rPr>
              <w:t>类别</w:t>
            </w:r>
          </w:p>
        </w:tc>
        <w:tc>
          <w:tcPr>
            <w:tcW w:w="3799" w:type="dxa"/>
            <w:vAlign w:val="top"/>
          </w:tcPr>
          <w:p>
            <w:pPr>
              <w:pStyle w:val="TableText"/>
              <w:ind w:left="1414"/>
              <w:spacing w:before="81" w:line="219" w:lineRule="auto"/>
              <w:rPr/>
            </w:pPr>
            <w:r>
              <w:rPr>
                <w:spacing w:val="-2"/>
              </w:rPr>
              <w:t>设计工作年限</w:t>
            </w:r>
          </w:p>
        </w:tc>
      </w:tr>
      <w:tr>
        <w:trPr>
          <w:trHeight w:val="308" w:hRule="atLeast"/>
        </w:trPr>
        <w:tc>
          <w:tcPr>
            <w:tcW w:w="2071" w:type="dxa"/>
            <w:vAlign w:val="top"/>
            <w:gridSpan w:val="2"/>
          </w:tcPr>
          <w:p>
            <w:pPr>
              <w:pStyle w:val="TableText"/>
              <w:ind w:left="704"/>
              <w:spacing w:before="79" w:line="220" w:lineRule="auto"/>
              <w:rPr/>
            </w:pPr>
            <w:r>
              <w:rPr>
                <w:spacing w:val="-2"/>
              </w:rPr>
              <w:t>建筑结构</w:t>
            </w:r>
          </w:p>
        </w:tc>
        <w:tc>
          <w:tcPr>
            <w:tcW w:w="3799" w:type="dxa"/>
            <w:vAlign w:val="top"/>
          </w:tcPr>
          <w:p>
            <w:pPr>
              <w:pStyle w:val="TableText"/>
              <w:ind w:left="1414"/>
              <w:spacing w:before="78" w:line="219" w:lineRule="auto"/>
              <w:rPr/>
            </w:pPr>
            <w:r>
              <w:rPr>
                <w:spacing w:val="-2"/>
              </w:rPr>
              <w:t>不应低于50年</w:t>
            </w:r>
          </w:p>
        </w:tc>
      </w:tr>
      <w:tr>
        <w:trPr>
          <w:trHeight w:val="299" w:hRule="atLeast"/>
        </w:trPr>
        <w:tc>
          <w:tcPr>
            <w:tcW w:w="963" w:type="dxa"/>
            <w:vAlign w:val="top"/>
            <w:vMerge w:val="restart"/>
            <w:tcBorders>
              <w:bottom w:val="nil"/>
            </w:tcBorders>
          </w:tcPr>
          <w:p>
            <w:pPr>
              <w:spacing w:line="3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75"/>
              <w:spacing w:before="52" w:line="219" w:lineRule="auto"/>
              <w:rPr/>
            </w:pPr>
            <w:r>
              <w:rPr>
                <w:spacing w:val="1"/>
              </w:rPr>
              <w:t>防水工程</w:t>
            </w:r>
          </w:p>
        </w:tc>
        <w:tc>
          <w:tcPr>
            <w:tcW w:w="1108" w:type="dxa"/>
            <w:vAlign w:val="top"/>
          </w:tcPr>
          <w:p>
            <w:pPr>
              <w:pStyle w:val="TableText"/>
              <w:ind w:left="382"/>
              <w:spacing w:before="71" w:line="220" w:lineRule="auto"/>
              <w:rPr/>
            </w:pPr>
            <w:r>
              <w:rPr>
                <w:spacing w:val="-2"/>
              </w:rPr>
              <w:t>屋面</w:t>
            </w:r>
          </w:p>
        </w:tc>
        <w:tc>
          <w:tcPr>
            <w:tcW w:w="3799" w:type="dxa"/>
            <w:vAlign w:val="top"/>
          </w:tcPr>
          <w:p>
            <w:pPr>
              <w:pStyle w:val="TableText"/>
              <w:ind w:left="1414"/>
              <w:spacing w:before="70" w:line="219" w:lineRule="auto"/>
              <w:rPr/>
            </w:pPr>
            <w:r>
              <w:rPr>
                <w:spacing w:val="-2"/>
              </w:rPr>
              <w:t>不应低于20年</w:t>
            </w:r>
          </w:p>
        </w:tc>
      </w:tr>
      <w:tr>
        <w:trPr>
          <w:trHeight w:val="328" w:hRule="atLeast"/>
        </w:trPr>
        <w:tc>
          <w:tcPr>
            <w:tcW w:w="96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8" w:type="dxa"/>
            <w:vAlign w:val="top"/>
          </w:tcPr>
          <w:p>
            <w:pPr>
              <w:pStyle w:val="TableText"/>
              <w:ind w:left="382"/>
              <w:spacing w:before="91" w:line="219" w:lineRule="auto"/>
              <w:rPr/>
            </w:pPr>
            <w:r>
              <w:rPr>
                <w:spacing w:val="10"/>
              </w:rPr>
              <w:t>室内</w:t>
            </w:r>
          </w:p>
        </w:tc>
        <w:tc>
          <w:tcPr>
            <w:tcW w:w="3799" w:type="dxa"/>
            <w:vAlign w:val="top"/>
          </w:tcPr>
          <w:p>
            <w:pPr>
              <w:pStyle w:val="TableText"/>
              <w:ind w:left="1414"/>
              <w:spacing w:before="91" w:line="219" w:lineRule="auto"/>
              <w:rPr/>
            </w:pPr>
            <w:r>
              <w:rPr>
                <w:spacing w:val="-2"/>
              </w:rPr>
              <w:t>不应低于25年</w:t>
            </w:r>
          </w:p>
        </w:tc>
      </w:tr>
      <w:tr>
        <w:trPr>
          <w:trHeight w:val="299" w:hRule="atLeast"/>
        </w:trPr>
        <w:tc>
          <w:tcPr>
            <w:tcW w:w="96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8" w:type="dxa"/>
            <w:vAlign w:val="top"/>
          </w:tcPr>
          <w:p>
            <w:pPr>
              <w:pStyle w:val="TableText"/>
              <w:ind w:left="382"/>
              <w:spacing w:before="74" w:line="221" w:lineRule="auto"/>
              <w:rPr/>
            </w:pPr>
            <w:r>
              <w:rPr>
                <w:spacing w:val="-2"/>
              </w:rPr>
              <w:t>地下</w:t>
            </w:r>
          </w:p>
        </w:tc>
        <w:tc>
          <w:tcPr>
            <w:tcW w:w="3799" w:type="dxa"/>
            <w:vAlign w:val="top"/>
          </w:tcPr>
          <w:p>
            <w:pPr>
              <w:pStyle w:val="TableText"/>
              <w:ind w:left="773"/>
              <w:spacing w:before="73" w:line="219" w:lineRule="auto"/>
              <w:rPr/>
            </w:pPr>
            <w:r>
              <w:rPr>
                <w:spacing w:val="-1"/>
              </w:rPr>
              <w:t>不应低于建筑结构设计工作年限</w:t>
            </w:r>
          </w:p>
        </w:tc>
      </w:tr>
      <w:tr>
        <w:trPr>
          <w:trHeight w:val="309" w:hRule="atLeast"/>
        </w:trPr>
        <w:tc>
          <w:tcPr>
            <w:tcW w:w="2071" w:type="dxa"/>
            <w:vAlign w:val="top"/>
            <w:gridSpan w:val="2"/>
          </w:tcPr>
          <w:p>
            <w:pPr>
              <w:pStyle w:val="TableText"/>
              <w:ind w:left="864"/>
              <w:spacing w:before="85" w:line="220" w:lineRule="auto"/>
              <w:rPr/>
            </w:pPr>
            <w:r>
              <w:rPr>
                <w:spacing w:val="-3"/>
              </w:rPr>
              <w:t>外窗</w:t>
            </w:r>
          </w:p>
        </w:tc>
        <w:tc>
          <w:tcPr>
            <w:tcW w:w="3799" w:type="dxa"/>
            <w:vAlign w:val="top"/>
          </w:tcPr>
          <w:p>
            <w:pPr>
              <w:pStyle w:val="TableText"/>
              <w:ind w:left="1414"/>
              <w:spacing w:before="84" w:line="219" w:lineRule="auto"/>
              <w:rPr/>
            </w:pPr>
            <w:r>
              <w:rPr>
                <w:spacing w:val="-2"/>
              </w:rPr>
              <w:t>不应低于25年</w:t>
            </w:r>
          </w:p>
        </w:tc>
      </w:tr>
      <w:tr>
        <w:trPr>
          <w:trHeight w:val="313" w:hRule="atLeast"/>
        </w:trPr>
        <w:tc>
          <w:tcPr>
            <w:tcW w:w="2071" w:type="dxa"/>
            <w:vAlign w:val="top"/>
            <w:gridSpan w:val="2"/>
          </w:tcPr>
          <w:p>
            <w:pPr>
              <w:pStyle w:val="TableText"/>
              <w:ind w:left="465"/>
              <w:spacing w:before="86" w:line="220" w:lineRule="auto"/>
              <w:rPr/>
            </w:pPr>
            <w:r>
              <w:rPr>
                <w:spacing w:val="-2"/>
              </w:rPr>
              <w:t>外墙外保温系统</w:t>
            </w:r>
          </w:p>
        </w:tc>
        <w:tc>
          <w:tcPr>
            <w:tcW w:w="3799" w:type="dxa"/>
            <w:vAlign w:val="top"/>
          </w:tcPr>
          <w:p>
            <w:pPr>
              <w:pStyle w:val="TableText"/>
              <w:ind w:left="1414"/>
              <w:spacing w:before="85" w:line="219" w:lineRule="auto"/>
              <w:rPr/>
            </w:pPr>
            <w:r>
              <w:rPr>
                <w:spacing w:val="-2"/>
              </w:rPr>
              <w:t>不应低于25年</w:t>
            </w:r>
          </w:p>
        </w:tc>
      </w:tr>
    </w:tbl>
    <w:p>
      <w:pPr>
        <w:pStyle w:val="BodyText"/>
        <w:ind w:left="5"/>
        <w:spacing w:before="224" w:line="248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3"/>
        </w:rPr>
        <w:t>2.2.7      </w:t>
      </w:r>
      <w:r>
        <w:rPr>
          <w:sz w:val="20"/>
          <w:szCs w:val="20"/>
          <w:spacing w:val="13"/>
        </w:rPr>
        <w:t>住宅建筑应满足居</w:t>
      </w:r>
      <w:r>
        <w:rPr>
          <w:sz w:val="20"/>
          <w:szCs w:val="20"/>
          <w:spacing w:val="12"/>
        </w:rPr>
        <w:t>住所需的通风、日照、采光、隔声、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5"/>
        </w:rPr>
        <w:t>防水、防潮、保温、隔热等性能要求。</w:t>
      </w:r>
    </w:p>
    <w:p>
      <w:pPr>
        <w:pStyle w:val="BodyText"/>
        <w:ind w:left="7"/>
        <w:spacing w:before="93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6"/>
        </w:rPr>
        <w:t>2.2.8</w:t>
      </w:r>
      <w:r>
        <w:rPr>
          <w:sz w:val="20"/>
          <w:szCs w:val="20"/>
          <w:spacing w:val="6"/>
        </w:rPr>
        <w:t xml:space="preserve">  住宅建筑及其设备应能有效利用能源和水资源。</w:t>
      </w:r>
    </w:p>
    <w:p>
      <w:pPr>
        <w:pStyle w:val="BodyText"/>
        <w:ind w:left="5" w:right="83" w:firstLine="2"/>
        <w:spacing w:before="62" w:line="262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1"/>
        </w:rPr>
        <w:t>2.2.9</w:t>
      </w:r>
      <w:r>
        <w:rPr>
          <w:sz w:val="20"/>
          <w:szCs w:val="20"/>
          <w:spacing w:val="11"/>
        </w:rPr>
        <w:t xml:space="preserve">  住宅建筑外窗、外墙装饰、外墙外保温系统及其他附属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  <w:spacing w:val="7"/>
        </w:rPr>
        <w:t>设施等应安装牢固，不应脱落、坠落。</w:t>
      </w:r>
    </w:p>
    <w:p>
      <w:pPr>
        <w:pStyle w:val="BodyText"/>
        <w:ind w:left="7"/>
        <w:spacing w:before="61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7"/>
        </w:rPr>
        <w:t>2.2.10</w:t>
      </w:r>
      <w:r>
        <w:rPr>
          <w:sz w:val="20"/>
          <w:szCs w:val="20"/>
          <w:spacing w:val="7"/>
        </w:rPr>
        <w:t xml:space="preserve">  住宅建筑应提供保证人员安全疏散</w:t>
      </w:r>
      <w:r>
        <w:rPr>
          <w:sz w:val="20"/>
          <w:szCs w:val="20"/>
          <w:spacing w:val="6"/>
        </w:rPr>
        <w:t>的设施与条件。</w:t>
      </w:r>
    </w:p>
    <w:p>
      <w:pPr>
        <w:pStyle w:val="BodyText"/>
        <w:ind w:left="5" w:right="91" w:firstLine="2"/>
        <w:spacing w:before="83" w:line="253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7"/>
        </w:rPr>
        <w:t>2.2.11</w:t>
      </w:r>
      <w:r>
        <w:rPr>
          <w:sz w:val="20"/>
          <w:szCs w:val="20"/>
          <w:spacing w:val="7"/>
        </w:rPr>
        <w:t xml:space="preserve">  住宅建筑应具有防止火灾蔓延的措施，并应在火灾时维</w:t>
      </w:r>
      <w:r>
        <w:rPr>
          <w:sz w:val="20"/>
          <w:szCs w:val="20"/>
          <w:spacing w:val="8"/>
        </w:rPr>
        <w:t xml:space="preserve"> </w:t>
      </w:r>
      <w:r>
        <w:rPr>
          <w:sz w:val="20"/>
          <w:szCs w:val="20"/>
          <w:spacing w:val="5"/>
        </w:rPr>
        <w:t>持结构的稳定性。</w:t>
      </w:r>
    </w:p>
    <w:p>
      <w:pPr>
        <w:pStyle w:val="BodyText"/>
        <w:ind w:left="5"/>
        <w:spacing w:before="83" w:line="21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7"/>
        </w:rPr>
        <w:t>2.2.12      </w:t>
      </w:r>
      <w:r>
        <w:rPr>
          <w:sz w:val="20"/>
          <w:szCs w:val="20"/>
          <w:spacing w:val="7"/>
        </w:rPr>
        <w:t>住宅建筑应具备与建筑高度相适应的</w:t>
      </w:r>
      <w:r>
        <w:rPr>
          <w:sz w:val="20"/>
          <w:szCs w:val="20"/>
          <w:spacing w:val="6"/>
        </w:rPr>
        <w:t>灭火救援条件。</w:t>
      </w:r>
    </w:p>
    <w:p>
      <w:pPr>
        <w:pStyle w:val="BodyText"/>
        <w:ind w:left="5" w:right="72"/>
        <w:spacing w:before="72" w:line="25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3"/>
        </w:rPr>
        <w:t>2.2.13      </w:t>
      </w:r>
      <w:r>
        <w:rPr>
          <w:sz w:val="20"/>
          <w:szCs w:val="20"/>
          <w:spacing w:val="13"/>
        </w:rPr>
        <w:t>装配式住宅建筑的结构构件和部件部品应符合通用性</w:t>
      </w:r>
      <w:r>
        <w:rPr>
          <w:sz w:val="20"/>
          <w:szCs w:val="20"/>
          <w:spacing w:val="11"/>
        </w:rPr>
        <w:t xml:space="preserve"> </w:t>
      </w:r>
      <w:r>
        <w:rPr>
          <w:sz w:val="20"/>
          <w:szCs w:val="20"/>
          <w:spacing w:val="-3"/>
        </w:rPr>
        <w:t>要求。</w:t>
      </w:r>
    </w:p>
    <w:p>
      <w:pPr>
        <w:pStyle w:val="BodyText"/>
        <w:ind w:left="2127"/>
        <w:spacing w:before="207" w:line="219" w:lineRule="auto"/>
        <w:outlineLvl w:val="1"/>
        <w:rPr>
          <w:sz w:val="20"/>
          <w:szCs w:val="20"/>
        </w:rPr>
      </w:pPr>
      <w:bookmarkStart w:name="bookmark6" w:id="7"/>
      <w:bookmarkEnd w:id="7"/>
      <w:r>
        <w:rPr>
          <w:sz w:val="20"/>
          <w:szCs w:val="20"/>
          <w:b/>
          <w:bCs/>
          <w:spacing w:val="-8"/>
        </w:rPr>
        <w:t>2.3</w:t>
      </w:r>
      <w:r>
        <w:rPr>
          <w:sz w:val="20"/>
          <w:szCs w:val="20"/>
          <w:spacing w:val="11"/>
        </w:rPr>
        <w:t xml:space="preserve">  </w:t>
      </w:r>
      <w:r>
        <w:rPr>
          <w:sz w:val="20"/>
          <w:szCs w:val="20"/>
          <w:b/>
          <w:bCs/>
          <w:spacing w:val="-8"/>
        </w:rPr>
        <w:t>使</w:t>
      </w:r>
      <w:r>
        <w:rPr>
          <w:sz w:val="20"/>
          <w:szCs w:val="20"/>
          <w:spacing w:val="31"/>
        </w:rPr>
        <w:t xml:space="preserve"> </w:t>
      </w:r>
      <w:r>
        <w:rPr>
          <w:sz w:val="20"/>
          <w:szCs w:val="20"/>
          <w:b/>
          <w:bCs/>
          <w:spacing w:val="-8"/>
        </w:rPr>
        <w:t>用</w:t>
      </w:r>
      <w:r>
        <w:rPr>
          <w:sz w:val="20"/>
          <w:szCs w:val="20"/>
          <w:spacing w:val="30"/>
        </w:rPr>
        <w:t xml:space="preserve"> </w:t>
      </w:r>
      <w:r>
        <w:rPr>
          <w:sz w:val="20"/>
          <w:szCs w:val="20"/>
          <w:b/>
          <w:bCs/>
          <w:spacing w:val="-8"/>
        </w:rPr>
        <w:t>要</w:t>
      </w:r>
      <w:r>
        <w:rPr>
          <w:sz w:val="20"/>
          <w:szCs w:val="20"/>
          <w:spacing w:val="30"/>
        </w:rPr>
        <w:t xml:space="preserve"> </w:t>
      </w:r>
      <w:r>
        <w:rPr>
          <w:sz w:val="20"/>
          <w:szCs w:val="20"/>
          <w:b/>
          <w:bCs/>
          <w:spacing w:val="-8"/>
        </w:rPr>
        <w:t>求</w:t>
      </w:r>
    </w:p>
    <w:p>
      <w:pPr>
        <w:pStyle w:val="BodyText"/>
        <w:spacing w:before="266" w:line="219" w:lineRule="auto"/>
        <w:jc w:val="right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7"/>
        </w:rPr>
        <w:t>2.3.1      </w:t>
      </w:r>
      <w:r>
        <w:rPr>
          <w:sz w:val="20"/>
          <w:szCs w:val="20"/>
          <w:spacing w:val="7"/>
        </w:rPr>
        <w:t>住宅项目配套建设的公共</w:t>
      </w:r>
      <w:r>
        <w:rPr>
          <w:sz w:val="20"/>
          <w:szCs w:val="20"/>
          <w:spacing w:val="6"/>
        </w:rPr>
        <w:t>设施的使用功能不应擅自改变。</w:t>
      </w:r>
    </w:p>
    <w:p>
      <w:pPr>
        <w:spacing w:line="219" w:lineRule="auto"/>
        <w:sectPr>
          <w:footerReference w:type="default" r:id="rId6"/>
          <w:pgSz w:w="7940" w:h="11500"/>
          <w:pgMar w:top="868" w:right="969" w:bottom="1039" w:left="1024" w:header="0" w:footer="859" w:gutter="0"/>
        </w:sectPr>
        <w:rPr>
          <w:sz w:val="20"/>
          <w:szCs w:val="20"/>
        </w:rPr>
      </w:pPr>
    </w:p>
    <w:p>
      <w:pPr>
        <w:pStyle w:val="BodyText"/>
        <w:ind w:right="5"/>
        <w:spacing w:before="41" w:line="246" w:lineRule="auto"/>
        <w:rPr/>
      </w:pPr>
      <w:bookmarkStart w:name="bookmark26" w:id="8"/>
      <w:bookmarkEnd w:id="8"/>
      <w:r>
        <w:rPr>
          <w:rFonts w:ascii="Times New Roman" w:hAnsi="Times New Roman" w:eastAsia="Times New Roman" w:cs="Times New Roman"/>
          <w:b/>
          <w:bCs/>
          <w:spacing w:val="4"/>
        </w:rPr>
        <w:t>2.3.2     </w:t>
      </w:r>
      <w:r>
        <w:rPr>
          <w:spacing w:val="4"/>
        </w:rPr>
        <w:t>住宅建筑的公共门厅、公共走廊、公共楼梯间、屋面等</w:t>
      </w:r>
      <w:r>
        <w:rPr/>
        <w:t xml:space="preserve"> </w:t>
      </w:r>
      <w:r>
        <w:rPr>
          <w:spacing w:val="-3"/>
        </w:rPr>
        <w:t>公共部位不应擅自拆改或占用。</w:t>
      </w:r>
    </w:p>
    <w:p>
      <w:pPr>
        <w:pStyle w:val="BodyText"/>
        <w:ind w:firstLine="3"/>
        <w:spacing w:before="61" w:line="273" w:lineRule="auto"/>
        <w:rPr>
          <w:sz w:val="16"/>
          <w:szCs w:val="16"/>
        </w:rPr>
      </w:pPr>
      <w:r>
        <w:rPr>
          <w:b/>
          <w:bCs/>
          <w:spacing w:val="3"/>
        </w:rPr>
        <w:t>2.3.3</w:t>
      </w:r>
      <w:r>
        <w:rPr>
          <w:spacing w:val="98"/>
        </w:rPr>
        <w:t xml:space="preserve"> </w:t>
      </w:r>
      <w:r>
        <w:rPr>
          <w:spacing w:val="3"/>
        </w:rPr>
        <w:t>住宅建筑承重结构、主要使用功能和建筑外</w:t>
      </w:r>
      <w:r>
        <w:rPr>
          <w:spacing w:val="2"/>
        </w:rPr>
        <w:t>观不应擅自</w:t>
      </w:r>
      <w:r>
        <w:rPr/>
        <w:t xml:space="preserve"> </w:t>
      </w:r>
      <w:r>
        <w:rPr>
          <w:sz w:val="16"/>
          <w:szCs w:val="16"/>
          <w:spacing w:val="-6"/>
        </w:rPr>
        <w:t>改</w:t>
      </w:r>
      <w:r>
        <w:rPr>
          <w:sz w:val="16"/>
          <w:szCs w:val="16"/>
          <w:spacing w:val="6"/>
        </w:rPr>
        <w:t xml:space="preserve"> </w:t>
      </w:r>
      <w:r>
        <w:rPr>
          <w:sz w:val="16"/>
          <w:szCs w:val="16"/>
          <w:spacing w:val="-6"/>
        </w:rPr>
        <w:t>动 。</w:t>
      </w:r>
    </w:p>
    <w:p>
      <w:pPr>
        <w:pStyle w:val="BodyText"/>
        <w:ind w:right="3" w:firstLine="3"/>
        <w:spacing w:before="92" w:line="250" w:lineRule="auto"/>
        <w:rPr/>
      </w:pPr>
      <w:r>
        <w:rPr>
          <w:b/>
          <w:bCs/>
          <w:spacing w:val="2"/>
        </w:rPr>
        <w:t>2.3.4</w:t>
      </w:r>
      <w:r>
        <w:rPr>
          <w:spacing w:val="6"/>
        </w:rPr>
        <w:t xml:space="preserve">  </w:t>
      </w:r>
      <w:r>
        <w:rPr>
          <w:spacing w:val="2"/>
        </w:rPr>
        <w:t>住宅建筑抗震构件、隔震沟、隔震缝、隔震减震装置及</w:t>
      </w:r>
      <w:r>
        <w:rPr>
          <w:spacing w:val="1"/>
        </w:rPr>
        <w:t xml:space="preserve"> </w:t>
      </w:r>
      <w:r>
        <w:rPr>
          <w:spacing w:val="-5"/>
        </w:rPr>
        <w:t>标识不应擅自变动、损坏或者拆除。</w:t>
      </w:r>
    </w:p>
    <w:p>
      <w:pPr>
        <w:pStyle w:val="BodyText"/>
        <w:ind w:right="7"/>
        <w:spacing w:before="60" w:line="246" w:lineRule="auto"/>
        <w:rPr/>
      </w:pPr>
      <w:r>
        <w:rPr>
          <w:rFonts w:ascii="Times New Roman" w:hAnsi="Times New Roman" w:eastAsia="Times New Roman" w:cs="Times New Roman"/>
          <w:b/>
          <w:bCs/>
          <w:spacing w:val="4"/>
        </w:rPr>
        <w:t>2.3.5     </w:t>
      </w:r>
      <w:r>
        <w:rPr>
          <w:spacing w:val="4"/>
        </w:rPr>
        <w:t>住宅项目公共用途的给水排水、供暖、燃气、供电</w:t>
      </w:r>
      <w:r>
        <w:rPr>
          <w:spacing w:val="3"/>
        </w:rPr>
        <w:t>、通</w:t>
      </w:r>
      <w:r>
        <w:rPr/>
        <w:t xml:space="preserve"> </w:t>
      </w:r>
      <w:r>
        <w:rPr>
          <w:spacing w:val="-4"/>
        </w:rPr>
        <w:t>信等设施不应擅自拆改。</w:t>
      </w:r>
    </w:p>
    <w:p>
      <w:pPr>
        <w:pStyle w:val="BodyText"/>
        <w:ind w:right="6" w:firstLine="3"/>
        <w:spacing w:before="50" w:line="255" w:lineRule="auto"/>
        <w:rPr/>
      </w:pPr>
      <w:r>
        <w:rPr>
          <w:b/>
          <w:bCs/>
          <w:spacing w:val="2"/>
        </w:rPr>
        <w:t>2.3.6</w:t>
      </w:r>
      <w:r>
        <w:rPr>
          <w:spacing w:val="115"/>
        </w:rPr>
        <w:t xml:space="preserve"> </w:t>
      </w:r>
      <w:r>
        <w:rPr>
          <w:spacing w:val="2"/>
        </w:rPr>
        <w:t>住宅项目的公共空间和场地、公共设备和设施应定期进</w:t>
      </w:r>
      <w:r>
        <w:rPr/>
        <w:t xml:space="preserve"> </w:t>
      </w:r>
      <w:r>
        <w:rPr>
          <w:spacing w:val="-3"/>
        </w:rPr>
        <w:t>行维护、检修和管理，并应保证公共设备和设施正常运行。</w:t>
      </w:r>
    </w:p>
    <w:p>
      <w:pPr>
        <w:pStyle w:val="BodyText"/>
        <w:ind w:right="6" w:firstLine="3"/>
        <w:spacing w:before="61" w:line="250" w:lineRule="auto"/>
        <w:rPr/>
      </w:pPr>
      <w:r>
        <w:rPr>
          <w:b/>
          <w:bCs/>
          <w:spacing w:val="2"/>
        </w:rPr>
        <w:t>2.3.7</w:t>
      </w:r>
      <w:r>
        <w:rPr>
          <w:spacing w:val="5"/>
        </w:rPr>
        <w:t xml:space="preserve">  </w:t>
      </w:r>
      <w:r>
        <w:rPr>
          <w:spacing w:val="2"/>
        </w:rPr>
        <w:t>住宅项目消防设施应保持完好有效，疏散通道、消防车</w:t>
      </w:r>
      <w:r>
        <w:rPr>
          <w:spacing w:val="1"/>
        </w:rPr>
        <w:t xml:space="preserve"> </w:t>
      </w:r>
      <w:r>
        <w:rPr>
          <w:spacing w:val="-5"/>
        </w:rPr>
        <w:t>通道应保持畅通。</w:t>
      </w:r>
    </w:p>
    <w:p>
      <w:pPr>
        <w:pStyle w:val="BodyText"/>
        <w:ind w:left="3"/>
        <w:spacing w:before="71" w:line="219" w:lineRule="auto"/>
        <w:rPr/>
      </w:pPr>
      <w:r>
        <w:rPr>
          <w:b/>
          <w:bCs/>
          <w:spacing w:val="-2"/>
        </w:rPr>
        <w:t>2.3.8</w:t>
      </w:r>
      <w:r>
        <w:rPr>
          <w:spacing w:val="-2"/>
        </w:rPr>
        <w:t xml:space="preserve">  住宅建筑楼面或屋面上不应堆放影响结构安全的重物。</w:t>
      </w:r>
    </w:p>
    <w:p>
      <w:pPr>
        <w:spacing w:line="219" w:lineRule="auto"/>
        <w:sectPr>
          <w:footerReference w:type="default" r:id="rId7"/>
          <w:pgSz w:w="7940" w:h="11500"/>
          <w:pgMar w:top="856" w:right="1044" w:bottom="1009" w:left="1029" w:header="0" w:footer="865" w:gutter="0"/>
        </w:sectPr>
        <w:rPr/>
      </w:pPr>
    </w:p>
    <w:p>
      <w:pPr>
        <w:spacing w:line="288" w:lineRule="auto"/>
        <w:rPr>
          <w:rFonts w:ascii="Arial"/>
          <w:sz w:val="21"/>
        </w:rPr>
      </w:pPr>
      <w:r/>
    </w:p>
    <w:p>
      <w:pPr>
        <w:spacing w:line="288" w:lineRule="auto"/>
        <w:rPr>
          <w:rFonts w:ascii="Arial"/>
          <w:sz w:val="21"/>
        </w:rPr>
      </w:pPr>
      <w:r/>
    </w:p>
    <w:p>
      <w:pPr>
        <w:pStyle w:val="BodyText"/>
        <w:ind w:left="1978"/>
        <w:spacing w:before="91" w:line="220" w:lineRule="auto"/>
        <w:outlineLvl w:val="0"/>
        <w:rPr>
          <w:sz w:val="28"/>
          <w:szCs w:val="28"/>
        </w:rPr>
      </w:pPr>
      <w:bookmarkStart w:name="bookmark27" w:id="9"/>
      <w:bookmarkEnd w:id="9"/>
      <w:bookmarkStart w:name="bookmark7" w:id="10"/>
      <w:bookmarkEnd w:id="10"/>
      <w:r>
        <w:rPr>
          <w:sz w:val="28"/>
          <w:szCs w:val="28"/>
          <w:b/>
          <w:bCs/>
          <w:spacing w:val="-14"/>
        </w:rPr>
        <w:t>3</w:t>
      </w:r>
      <w:r>
        <w:rPr>
          <w:sz w:val="28"/>
          <w:szCs w:val="28"/>
          <w:spacing w:val="5"/>
        </w:rPr>
        <w:t xml:space="preserve">  </w:t>
      </w:r>
      <w:r>
        <w:rPr>
          <w:sz w:val="28"/>
          <w:szCs w:val="28"/>
          <w:b/>
          <w:bCs/>
          <w:spacing w:val="-14"/>
        </w:rPr>
        <w:t>居</w:t>
      </w:r>
      <w:r>
        <w:rPr>
          <w:sz w:val="28"/>
          <w:szCs w:val="28"/>
          <w:spacing w:val="9"/>
        </w:rPr>
        <w:t xml:space="preserve"> </w:t>
      </w:r>
      <w:r>
        <w:rPr>
          <w:sz w:val="28"/>
          <w:szCs w:val="28"/>
          <w:b/>
          <w:bCs/>
          <w:spacing w:val="-14"/>
        </w:rPr>
        <w:t>住</w:t>
      </w:r>
      <w:r>
        <w:rPr>
          <w:sz w:val="28"/>
          <w:szCs w:val="28"/>
          <w:spacing w:val="10"/>
        </w:rPr>
        <w:t xml:space="preserve"> </w:t>
      </w:r>
      <w:r>
        <w:rPr>
          <w:sz w:val="28"/>
          <w:szCs w:val="28"/>
          <w:b/>
          <w:bCs/>
          <w:spacing w:val="-14"/>
        </w:rPr>
        <w:t>环</w:t>
      </w:r>
      <w:r>
        <w:rPr>
          <w:sz w:val="28"/>
          <w:szCs w:val="28"/>
          <w:spacing w:val="11"/>
        </w:rPr>
        <w:t xml:space="preserve"> </w:t>
      </w:r>
      <w:r>
        <w:rPr>
          <w:sz w:val="28"/>
          <w:szCs w:val="28"/>
          <w:b/>
          <w:bCs/>
          <w:spacing w:val="-14"/>
        </w:rPr>
        <w:t>境</w:t>
      </w:r>
    </w:p>
    <w:p>
      <w:pPr>
        <w:spacing w:line="255" w:lineRule="auto"/>
        <w:rPr>
          <w:rFonts w:ascii="Arial"/>
          <w:sz w:val="21"/>
        </w:rPr>
      </w:pPr>
      <w:r/>
    </w:p>
    <w:p>
      <w:pPr>
        <w:pStyle w:val="BodyText"/>
        <w:ind w:left="2107"/>
        <w:spacing w:before="65" w:line="222" w:lineRule="auto"/>
        <w:outlineLvl w:val="1"/>
        <w:rPr>
          <w:rFonts w:ascii="SimHei" w:hAnsi="SimHei" w:eastAsia="SimHei" w:cs="SimHei"/>
          <w:sz w:val="20"/>
          <w:szCs w:val="20"/>
        </w:rPr>
      </w:pPr>
      <w:bookmarkStart w:name="bookmark8" w:id="11"/>
      <w:bookmarkEnd w:id="11"/>
      <w:r>
        <w:rPr>
          <w:sz w:val="20"/>
          <w:szCs w:val="20"/>
          <w:b/>
          <w:bCs/>
          <w:spacing w:val="-9"/>
        </w:rPr>
        <w:t>3.1</w:t>
      </w:r>
      <w:r>
        <w:rPr>
          <w:sz w:val="20"/>
          <w:szCs w:val="20"/>
          <w:spacing w:val="20"/>
        </w:rPr>
        <w:t xml:space="preserve">  </w:t>
      </w:r>
      <w:r>
        <w:rPr>
          <w:rFonts w:ascii="SimHei" w:hAnsi="SimHei" w:eastAsia="SimHei" w:cs="SimHei"/>
          <w:sz w:val="20"/>
          <w:szCs w:val="20"/>
          <w:b/>
          <w:bCs/>
          <w:spacing w:val="-9"/>
        </w:rPr>
        <w:t>空</w:t>
      </w:r>
      <w:r>
        <w:rPr>
          <w:rFonts w:ascii="SimHei" w:hAnsi="SimHei" w:eastAsia="SimHei" w:cs="SimHei"/>
          <w:sz w:val="20"/>
          <w:szCs w:val="20"/>
          <w:spacing w:val="36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9"/>
        </w:rPr>
        <w:t>间</w:t>
      </w:r>
      <w:r>
        <w:rPr>
          <w:rFonts w:ascii="SimHei" w:hAnsi="SimHei" w:eastAsia="SimHei" w:cs="SimHei"/>
          <w:sz w:val="20"/>
          <w:szCs w:val="20"/>
          <w:spacing w:val="25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9"/>
        </w:rPr>
        <w:t>环</w:t>
      </w:r>
      <w:r>
        <w:rPr>
          <w:rFonts w:ascii="SimHei" w:hAnsi="SimHei" w:eastAsia="SimHei" w:cs="SimHei"/>
          <w:sz w:val="20"/>
          <w:szCs w:val="20"/>
          <w:spacing w:val="26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9"/>
        </w:rPr>
        <w:t>境</w:t>
      </w:r>
    </w:p>
    <w:p>
      <w:pPr>
        <w:pStyle w:val="BodyText"/>
        <w:ind w:left="15" w:right="7"/>
        <w:spacing w:before="231" w:line="297" w:lineRule="auto"/>
        <w:jc w:val="both"/>
        <w:rPr>
          <w:sz w:val="20"/>
          <w:szCs w:val="20"/>
        </w:rPr>
      </w:pPr>
      <w:r>
        <w:rPr>
          <w:sz w:val="20"/>
          <w:szCs w:val="20"/>
          <w:spacing w:val="11"/>
        </w:rPr>
        <w:t>3.1.1  住宅项目应为居民提供宜居的居住生活环境，其居住街</w:t>
      </w:r>
      <w:r>
        <w:rPr>
          <w:sz w:val="20"/>
          <w:szCs w:val="20"/>
          <w:spacing w:val="15"/>
        </w:rPr>
        <w:t xml:space="preserve"> </w:t>
      </w:r>
      <w:r>
        <w:rPr>
          <w:sz w:val="20"/>
          <w:szCs w:val="20"/>
          <w:spacing w:val="10"/>
        </w:rPr>
        <w:t>坊的空间环境控制指标应符合表3.1.1-1的规定。当住宅建筑采</w:t>
      </w:r>
      <w:r>
        <w:rPr>
          <w:sz w:val="20"/>
          <w:szCs w:val="20"/>
          <w:spacing w:val="17"/>
        </w:rPr>
        <w:t xml:space="preserve"> </w:t>
      </w:r>
      <w:r>
        <w:rPr>
          <w:sz w:val="20"/>
          <w:szCs w:val="20"/>
          <w:spacing w:val="8"/>
        </w:rPr>
        <w:t>用低层或多层高密度布局方式时，其居住街坊的空间环境控制指 </w:t>
      </w:r>
      <w:r>
        <w:rPr>
          <w:sz w:val="20"/>
          <w:szCs w:val="20"/>
          <w:spacing w:val="8"/>
        </w:rPr>
        <w:t>标应符合表3.1.1-2的规定。</w:t>
      </w:r>
    </w:p>
    <w:p>
      <w:pPr>
        <w:ind w:left="1287"/>
        <w:spacing w:before="71" w:line="222" w:lineRule="auto"/>
        <w:rPr>
          <w:rFonts w:ascii="SimHei" w:hAnsi="SimHei" w:eastAsia="SimHei" w:cs="SimHei"/>
          <w:sz w:val="20"/>
          <w:szCs w:val="20"/>
        </w:rPr>
      </w:pP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表3.1.1-1</w:t>
      </w:r>
      <w:r>
        <w:rPr>
          <w:rFonts w:ascii="SimHei" w:hAnsi="SimHei" w:eastAsia="SimHei" w:cs="SimHei"/>
          <w:sz w:val="20"/>
          <w:szCs w:val="20"/>
          <w:spacing w:val="61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居住街坊的空间环境控制指标</w:t>
      </w:r>
    </w:p>
    <w:p>
      <w:pPr>
        <w:spacing w:line="50" w:lineRule="exact"/>
        <w:rPr/>
      </w:pPr>
      <w:r/>
    </w:p>
    <w:tbl>
      <w:tblPr>
        <w:tblStyle w:val="TableNormal"/>
        <w:tblW w:w="587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804"/>
        <w:gridCol w:w="1747"/>
        <w:gridCol w:w="779"/>
        <w:gridCol w:w="808"/>
        <w:gridCol w:w="789"/>
        <w:gridCol w:w="943"/>
      </w:tblGrid>
      <w:tr>
        <w:trPr>
          <w:trHeight w:val="1003" w:hRule="atLeast"/>
        </w:trPr>
        <w:tc>
          <w:tcPr>
            <w:tcW w:w="804" w:type="dxa"/>
            <w:vAlign w:val="top"/>
          </w:tcPr>
          <w:p>
            <w:pPr>
              <w:pStyle w:val="TableText"/>
              <w:ind w:left="224" w:right="67" w:hanging="169"/>
              <w:spacing w:before="291" w:line="28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建筑气候</w:t>
            </w:r>
            <w:r>
              <w:rPr>
                <w:sz w:val="17"/>
                <w:szCs w:val="17"/>
                <w:spacing w:val="2"/>
              </w:rPr>
              <w:t xml:space="preserve"> </w:t>
            </w:r>
            <w:r>
              <w:rPr>
                <w:sz w:val="17"/>
                <w:szCs w:val="17"/>
                <w:spacing w:val="6"/>
              </w:rPr>
              <w:t>区划</w:t>
            </w:r>
          </w:p>
        </w:tc>
        <w:tc>
          <w:tcPr>
            <w:tcW w:w="1747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21"/>
              <w:spacing w:before="56" w:line="22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住宅建筑</w:t>
            </w:r>
          </w:p>
          <w:p>
            <w:pPr>
              <w:pStyle w:val="TableText"/>
              <w:ind w:left="351"/>
              <w:spacing w:before="57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1"/>
              </w:rPr>
              <w:t>平均层数类别</w:t>
            </w:r>
          </w:p>
        </w:tc>
        <w:tc>
          <w:tcPr>
            <w:tcW w:w="77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3" w:right="50" w:hanging="79"/>
              <w:spacing w:before="55" w:line="294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住宅用地</w:t>
            </w:r>
            <w:r>
              <w:rPr>
                <w:sz w:val="17"/>
                <w:szCs w:val="17"/>
                <w:spacing w:val="1"/>
              </w:rPr>
              <w:t xml:space="preserve"> </w:t>
            </w:r>
            <w:r>
              <w:rPr>
                <w:sz w:val="17"/>
                <w:szCs w:val="17"/>
                <w:spacing w:val="-2"/>
              </w:rPr>
              <w:t>容积率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55"/>
              <w:spacing w:before="162" w:line="22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建筑密度</w:t>
            </w:r>
          </w:p>
          <w:p>
            <w:pPr>
              <w:pStyle w:val="TableText"/>
              <w:ind w:left="145"/>
              <w:spacing w:before="67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最大值</w:t>
            </w:r>
          </w:p>
          <w:p>
            <w:pPr>
              <w:pStyle w:val="TableText"/>
              <w:ind w:left="264"/>
              <w:spacing w:before="70" w:line="222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9"/>
              </w:rPr>
              <w:t>(%)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137"/>
              <w:spacing w:before="172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绿地率</w:t>
            </w:r>
          </w:p>
          <w:p>
            <w:pPr>
              <w:pStyle w:val="TableText"/>
              <w:ind w:left="137"/>
              <w:spacing w:before="58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最小值</w:t>
            </w:r>
          </w:p>
          <w:p>
            <w:pPr>
              <w:pStyle w:val="TableText"/>
              <w:ind w:left="257"/>
              <w:spacing w:before="60" w:line="222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9"/>
              </w:rPr>
              <w:t>(%)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128"/>
              <w:spacing w:before="32" w:line="22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住宅建筑</w:t>
            </w:r>
          </w:p>
          <w:p>
            <w:pPr>
              <w:pStyle w:val="TableText"/>
              <w:ind w:left="128"/>
              <w:spacing w:before="57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高度控制</w:t>
            </w:r>
          </w:p>
          <w:p>
            <w:pPr>
              <w:pStyle w:val="TableText"/>
              <w:ind w:left="208"/>
              <w:spacing w:before="68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最大值</w:t>
            </w:r>
          </w:p>
          <w:p>
            <w:pPr>
              <w:pStyle w:val="TableText"/>
              <w:ind w:left="338"/>
              <w:spacing w:before="60" w:line="183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9"/>
              </w:rPr>
              <w:t>(m)</w:t>
            </w:r>
          </w:p>
        </w:tc>
      </w:tr>
      <w:tr>
        <w:trPr>
          <w:trHeight w:val="290" w:hRule="atLeast"/>
        </w:trPr>
        <w:tc>
          <w:tcPr>
            <w:tcW w:w="804" w:type="dxa"/>
            <w:vAlign w:val="top"/>
            <w:vMerge w:val="restart"/>
            <w:tcBorders>
              <w:bottom w:val="nil"/>
            </w:tcBorders>
          </w:tcPr>
          <w:p>
            <w:pPr>
              <w:spacing w:line="327" w:lineRule="auto"/>
              <w:rPr>
                <w:rFonts w:ascii="Arial"/>
                <w:sz w:val="21"/>
              </w:rPr>
            </w:pPr>
            <w:r/>
          </w:p>
          <w:p>
            <w:pPr>
              <w:spacing w:line="32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5"/>
              <w:spacing w:before="55" w:line="23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I、VⅡ</w:t>
            </w:r>
          </w:p>
        </w:tc>
        <w:tc>
          <w:tcPr>
            <w:tcW w:w="1747" w:type="dxa"/>
            <w:vAlign w:val="top"/>
          </w:tcPr>
          <w:p>
            <w:pPr>
              <w:pStyle w:val="TableText"/>
              <w:ind w:left="391"/>
              <w:spacing w:before="59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5"/>
              </w:rPr>
              <w:t>低层(1~3层)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254"/>
              <w:spacing w:before="75" w:line="222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5"/>
              </w:rPr>
              <w:t>1.0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75" w:line="222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35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75" w:line="222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75" w:line="222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5"/>
              </w:rPr>
              <w:t>18</w:t>
            </w:r>
          </w:p>
        </w:tc>
      </w:tr>
      <w:tr>
        <w:trPr>
          <w:trHeight w:val="319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270"/>
              <w:spacing w:before="79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多层I类(4~6层)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96" w:line="231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1.1~1.4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6" w:line="231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28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6" w:line="231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6" w:line="231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27</w:t>
            </w:r>
          </w:p>
        </w:tc>
      </w:tr>
      <w:tr>
        <w:trPr>
          <w:trHeight w:val="309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221"/>
              <w:spacing w:before="70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4"/>
              </w:rPr>
              <w:t>多层Ⅱ类(7~9层)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87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1.5~1.7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87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25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87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87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36</w:t>
            </w:r>
          </w:p>
        </w:tc>
      </w:tr>
      <w:tr>
        <w:trPr>
          <w:trHeight w:val="310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81"/>
              <w:spacing w:before="71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高层I类(10~17层)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44"/>
              <w:spacing w:before="88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1.8～2.4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88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20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88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35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88" w:line="23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54</w:t>
            </w:r>
          </w:p>
        </w:tc>
      </w:tr>
      <w:tr>
        <w:trPr>
          <w:trHeight w:val="299" w:hRule="atLeast"/>
        </w:trPr>
        <w:tc>
          <w:tcPr>
            <w:tcW w:w="8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41"/>
              <w:spacing w:before="71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2"/>
              </w:rPr>
              <w:t>高层Ⅱ类(18~26层)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88" w:line="21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2.4~2.8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88" w:line="21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20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88" w:line="21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35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88" w:line="21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80</w:t>
            </w:r>
          </w:p>
        </w:tc>
      </w:tr>
      <w:tr>
        <w:trPr>
          <w:trHeight w:val="319" w:hRule="atLeast"/>
        </w:trPr>
        <w:tc>
          <w:tcPr>
            <w:tcW w:w="804" w:type="dxa"/>
            <w:vAlign w:val="top"/>
            <w:vMerge w:val="restart"/>
            <w:tcBorders>
              <w:bottom w:val="nil"/>
            </w:tcBorders>
          </w:tcPr>
          <w:p>
            <w:pPr>
              <w:spacing w:line="333" w:lineRule="auto"/>
              <w:rPr>
                <w:rFonts w:ascii="Arial"/>
                <w:sz w:val="21"/>
              </w:rPr>
            </w:pPr>
            <w:r/>
          </w:p>
          <w:p>
            <w:pPr>
              <w:spacing w:line="33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5"/>
              <w:spacing w:before="55" w:line="23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8"/>
              </w:rPr>
              <w:t>Ⅱ、VI</w:t>
            </w:r>
          </w:p>
        </w:tc>
        <w:tc>
          <w:tcPr>
            <w:tcW w:w="1747" w:type="dxa"/>
            <w:vAlign w:val="top"/>
          </w:tcPr>
          <w:p>
            <w:pPr>
              <w:pStyle w:val="TableText"/>
              <w:ind w:left="391"/>
              <w:spacing w:before="82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5"/>
              </w:rPr>
              <w:t>低层(1~3层)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44"/>
              <w:spacing w:before="96" w:line="231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1.0、1.1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9" w:line="22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40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9" w:line="22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28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9" w:line="22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5"/>
              </w:rPr>
              <w:t>18</w:t>
            </w:r>
          </w:p>
        </w:tc>
      </w:tr>
      <w:tr>
        <w:trPr>
          <w:trHeight w:val="310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221"/>
              <w:spacing w:before="73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4"/>
              </w:rPr>
              <w:t>多层I类(4～6层)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90" w:line="22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1.2~1.5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0" w:line="22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0" w:line="22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0" w:line="228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27</w:t>
            </w:r>
          </w:p>
        </w:tc>
      </w:tr>
      <w:tr>
        <w:trPr>
          <w:trHeight w:val="299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81"/>
              <w:spacing w:before="73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多层Ⅱ类(7～9层)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90" w:line="21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1.6~1.9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0" w:line="21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28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0" w:line="21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0" w:line="21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36</w:t>
            </w:r>
          </w:p>
        </w:tc>
      </w:tr>
      <w:tr>
        <w:trPr>
          <w:trHeight w:val="310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81"/>
              <w:spacing w:before="74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高层I类(10~17层)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2.0~2.6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20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35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54</w:t>
            </w:r>
          </w:p>
        </w:tc>
      </w:tr>
      <w:tr>
        <w:trPr>
          <w:trHeight w:val="310" w:hRule="atLeast"/>
        </w:trPr>
        <w:tc>
          <w:tcPr>
            <w:tcW w:w="8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01"/>
              <w:spacing w:before="74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高层Ⅱ类(18～26层)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44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2.6～2.9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20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35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0" w:line="227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80</w:t>
            </w:r>
          </w:p>
        </w:tc>
      </w:tr>
      <w:tr>
        <w:trPr>
          <w:trHeight w:val="309" w:hRule="atLeast"/>
        </w:trPr>
        <w:tc>
          <w:tcPr>
            <w:tcW w:w="804" w:type="dxa"/>
            <w:vAlign w:val="top"/>
            <w:vMerge w:val="restart"/>
            <w:tcBorders>
              <w:bottom w:val="nil"/>
            </w:tcBorders>
          </w:tcPr>
          <w:p>
            <w:pPr>
              <w:spacing w:line="334" w:lineRule="auto"/>
              <w:rPr>
                <w:rFonts w:ascii="Arial"/>
                <w:sz w:val="21"/>
              </w:rPr>
            </w:pPr>
            <w:r/>
          </w:p>
          <w:p>
            <w:pPr>
              <w:spacing w:line="33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"/>
              <w:spacing w:before="55" w:line="23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1"/>
              </w:rPr>
              <w:t>Ⅲ、IV、V</w:t>
            </w:r>
          </w:p>
        </w:tc>
        <w:tc>
          <w:tcPr>
            <w:tcW w:w="1747" w:type="dxa"/>
            <w:vAlign w:val="top"/>
          </w:tcPr>
          <w:p>
            <w:pPr>
              <w:pStyle w:val="TableText"/>
              <w:ind w:left="391"/>
              <w:spacing w:before="74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5"/>
              </w:rPr>
              <w:t>低层(1~3层)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90" w:line="22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1.0~1.2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0" w:line="22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43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0" w:line="22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25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0" w:line="226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5"/>
              </w:rPr>
              <w:t>18</w:t>
            </w:r>
          </w:p>
        </w:tc>
      </w:tr>
      <w:tr>
        <w:trPr>
          <w:trHeight w:val="300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270"/>
              <w:spacing w:before="75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多层I类(4~6层)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92" w:line="21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1.3~1.6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2" w:line="21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32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2" w:line="21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2" w:line="21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27</w:t>
            </w:r>
          </w:p>
        </w:tc>
      </w:tr>
      <w:tr>
        <w:trPr>
          <w:trHeight w:val="309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81"/>
              <w:spacing w:before="75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多层Ⅱ类(7～9层)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44"/>
              <w:spacing w:before="91" w:line="22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1.7～2.1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1" w:line="22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1" w:line="22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30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1" w:line="225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36</w:t>
            </w:r>
          </w:p>
        </w:tc>
      </w:tr>
      <w:tr>
        <w:trPr>
          <w:trHeight w:val="300" w:hRule="atLeast"/>
        </w:trPr>
        <w:tc>
          <w:tcPr>
            <w:tcW w:w="8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81"/>
              <w:spacing w:before="76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高层I类(10~17层)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44"/>
              <w:spacing w:before="92" w:line="214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2.2～2.8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92" w:line="214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22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92" w:line="214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35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92" w:line="214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54</w:t>
            </w:r>
          </w:p>
        </w:tc>
      </w:tr>
      <w:tr>
        <w:trPr>
          <w:trHeight w:val="324" w:hRule="atLeast"/>
        </w:trPr>
        <w:tc>
          <w:tcPr>
            <w:tcW w:w="8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47" w:type="dxa"/>
            <w:vAlign w:val="top"/>
          </w:tcPr>
          <w:p>
            <w:pPr>
              <w:pStyle w:val="TableText"/>
              <w:ind w:left="101"/>
              <w:spacing w:before="86" w:line="21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3"/>
              </w:rPr>
              <w:t>高层Ⅱ类(18～26层)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84"/>
              <w:spacing w:before="103" w:line="22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2.8~3.1</w:t>
            </w:r>
          </w:p>
        </w:tc>
        <w:tc>
          <w:tcPr>
            <w:tcW w:w="808" w:type="dxa"/>
            <w:vAlign w:val="top"/>
          </w:tcPr>
          <w:p>
            <w:pPr>
              <w:pStyle w:val="TableText"/>
              <w:ind w:left="315"/>
              <w:spacing w:before="103" w:line="22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22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7"/>
              <w:spacing w:before="103" w:line="22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3"/>
              </w:rPr>
              <w:t>35</w:t>
            </w:r>
          </w:p>
        </w:tc>
        <w:tc>
          <w:tcPr>
            <w:tcW w:w="943" w:type="dxa"/>
            <w:vAlign w:val="top"/>
          </w:tcPr>
          <w:p>
            <w:pPr>
              <w:pStyle w:val="TableText"/>
              <w:ind w:left="378"/>
              <w:spacing w:before="103" w:line="229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  <w:spacing w:val="-2"/>
              </w:rPr>
              <w:t>80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8"/>
          <w:pgSz w:w="7940" w:h="11500"/>
          <w:pgMar w:top="977" w:right="1034" w:bottom="1009" w:left="1024" w:header="0" w:footer="867" w:gutter="0"/>
        </w:sectPr>
        <w:rPr>
          <w:rFonts w:ascii="Arial" w:hAnsi="Arial" w:eastAsia="Arial" w:cs="Arial"/>
          <w:sz w:val="21"/>
          <w:szCs w:val="21"/>
        </w:rPr>
      </w:pPr>
    </w:p>
    <w:p>
      <w:pPr>
        <w:ind w:left="547"/>
        <w:spacing w:before="40" w:line="221" w:lineRule="auto"/>
        <w:rPr>
          <w:rFonts w:ascii="SimHei" w:hAnsi="SimHei" w:eastAsia="SimHei" w:cs="SimHei"/>
          <w:sz w:val="20"/>
          <w:szCs w:val="20"/>
        </w:rPr>
      </w:pPr>
      <w:bookmarkStart w:name="bookmark28" w:id="12"/>
      <w:bookmarkEnd w:id="12"/>
      <w:r>
        <w:rPr>
          <w:rFonts w:ascii="SimHei" w:hAnsi="SimHei" w:eastAsia="SimHei" w:cs="SimHei"/>
          <w:sz w:val="20"/>
          <w:szCs w:val="20"/>
          <w:b/>
          <w:bCs/>
          <w:spacing w:val="-18"/>
        </w:rPr>
        <w:t>表3.1.1-2</w:t>
      </w:r>
      <w:r>
        <w:rPr>
          <w:rFonts w:ascii="SimHei" w:hAnsi="SimHei" w:eastAsia="SimHei" w:cs="SimHei"/>
          <w:sz w:val="20"/>
          <w:szCs w:val="20"/>
          <w:spacing w:val="-18"/>
        </w:rPr>
        <w:t xml:space="preserve">  </w:t>
      </w:r>
      <w:r>
        <w:rPr>
          <w:rFonts w:ascii="SimHei" w:hAnsi="SimHei" w:eastAsia="SimHei" w:cs="SimHei"/>
          <w:sz w:val="20"/>
          <w:szCs w:val="20"/>
          <w:b/>
          <w:bCs/>
          <w:spacing w:val="-18"/>
        </w:rPr>
        <w:t>低层或多层高密度居住街坊的空间环境</w:t>
      </w:r>
      <w:r>
        <w:rPr>
          <w:rFonts w:ascii="SimHei" w:hAnsi="SimHei" w:eastAsia="SimHei" w:cs="SimHei"/>
          <w:sz w:val="20"/>
          <w:szCs w:val="20"/>
          <w:b/>
          <w:bCs/>
          <w:spacing w:val="-19"/>
        </w:rPr>
        <w:t>控制指标</w:t>
      </w:r>
    </w:p>
    <w:p>
      <w:pPr>
        <w:spacing w:line="52" w:lineRule="exact"/>
        <w:rPr/>
      </w:pPr>
      <w:r/>
    </w:p>
    <w:tbl>
      <w:tblPr>
        <w:tblStyle w:val="TableNormal"/>
        <w:tblW w:w="587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634"/>
        <w:gridCol w:w="958"/>
        <w:gridCol w:w="798"/>
        <w:gridCol w:w="789"/>
        <w:gridCol w:w="629"/>
        <w:gridCol w:w="799"/>
        <w:gridCol w:w="1263"/>
      </w:tblGrid>
      <w:tr>
        <w:trPr>
          <w:trHeight w:val="1113" w:hRule="atLeast"/>
        </w:trPr>
        <w:tc>
          <w:tcPr>
            <w:tcW w:w="634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"/>
              <w:spacing w:before="52" w:line="220" w:lineRule="auto"/>
              <w:rPr/>
            </w:pPr>
            <w:r>
              <w:rPr>
                <w:spacing w:val="-2"/>
              </w:rPr>
              <w:t>建筑气</w:t>
            </w:r>
          </w:p>
          <w:p>
            <w:pPr>
              <w:pStyle w:val="TableText"/>
              <w:ind w:left="65"/>
              <w:spacing w:before="88" w:line="219" w:lineRule="auto"/>
              <w:rPr/>
            </w:pPr>
            <w:r>
              <w:rPr>
                <w:spacing w:val="-2"/>
              </w:rPr>
              <w:t>候区划</w:t>
            </w:r>
          </w:p>
        </w:tc>
        <w:tc>
          <w:tcPr>
            <w:tcW w:w="958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1"/>
              <w:spacing w:before="52" w:line="220" w:lineRule="auto"/>
              <w:rPr/>
            </w:pPr>
            <w:r>
              <w:rPr>
                <w:spacing w:val="-2"/>
              </w:rPr>
              <w:t>住宅建筑</w:t>
            </w:r>
          </w:p>
          <w:p>
            <w:pPr>
              <w:pStyle w:val="TableText"/>
              <w:ind w:left="151"/>
              <w:spacing w:before="78" w:line="219" w:lineRule="auto"/>
              <w:rPr/>
            </w:pPr>
            <w:r>
              <w:rPr>
                <w:spacing w:val="-2"/>
              </w:rPr>
              <w:t>层数类别</w:t>
            </w:r>
          </w:p>
        </w:tc>
        <w:tc>
          <w:tcPr>
            <w:tcW w:w="798" w:type="dxa"/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3" w:right="80" w:hanging="80"/>
              <w:spacing w:before="52" w:line="312" w:lineRule="auto"/>
              <w:rPr/>
            </w:pPr>
            <w:r>
              <w:rPr>
                <w:spacing w:val="-2"/>
              </w:rPr>
              <w:t>住宅用地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容积率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65"/>
              <w:spacing w:before="242" w:line="220" w:lineRule="auto"/>
              <w:rPr/>
            </w:pPr>
            <w:r>
              <w:rPr>
                <w:spacing w:val="-2"/>
              </w:rPr>
              <w:t>建筑密度</w:t>
            </w:r>
          </w:p>
          <w:p>
            <w:pPr>
              <w:pStyle w:val="TableText"/>
              <w:ind w:left="145"/>
              <w:spacing w:before="58" w:line="219" w:lineRule="auto"/>
              <w:rPr/>
            </w:pPr>
            <w:r>
              <w:rPr>
                <w:spacing w:val="-2"/>
              </w:rPr>
              <w:t>最大值</w:t>
            </w:r>
          </w:p>
          <w:p>
            <w:pPr>
              <w:pStyle w:val="TableText"/>
              <w:ind w:left="265"/>
              <w:spacing w:before="62" w:line="222" w:lineRule="auto"/>
              <w:rPr/>
            </w:pPr>
            <w:r>
              <w:rPr>
                <w:spacing w:val="-8"/>
              </w:rPr>
              <w:t>(%)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66"/>
              <w:spacing w:before="231" w:line="219" w:lineRule="auto"/>
              <w:rPr/>
            </w:pPr>
            <w:r>
              <w:rPr>
                <w:spacing w:val="-2"/>
              </w:rPr>
              <w:t>绿地率</w:t>
            </w:r>
          </w:p>
          <w:p>
            <w:pPr>
              <w:pStyle w:val="TableText"/>
              <w:ind w:left="66"/>
              <w:spacing w:before="60" w:line="219" w:lineRule="auto"/>
              <w:rPr/>
            </w:pPr>
            <w:r>
              <w:rPr>
                <w:spacing w:val="-2"/>
              </w:rPr>
              <w:t>最小值</w:t>
            </w:r>
          </w:p>
          <w:p>
            <w:pPr>
              <w:pStyle w:val="TableText"/>
              <w:ind w:left="186"/>
              <w:spacing w:before="72" w:line="222" w:lineRule="auto"/>
              <w:rPr/>
            </w:pPr>
            <w:r>
              <w:rPr>
                <w:spacing w:val="-8"/>
              </w:rPr>
              <w:t>(%)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77"/>
              <w:spacing w:before="92" w:line="220" w:lineRule="auto"/>
              <w:rPr/>
            </w:pPr>
            <w:r>
              <w:rPr>
                <w:spacing w:val="-2"/>
              </w:rPr>
              <w:t>住宅建筑</w:t>
            </w:r>
          </w:p>
          <w:p>
            <w:pPr>
              <w:pStyle w:val="TableText"/>
              <w:ind w:left="77"/>
              <w:spacing w:before="68" w:line="219" w:lineRule="auto"/>
              <w:rPr/>
            </w:pPr>
            <w:r>
              <w:rPr>
                <w:spacing w:val="3"/>
              </w:rPr>
              <w:t>高度控制</w:t>
            </w:r>
          </w:p>
          <w:p>
            <w:pPr>
              <w:pStyle w:val="TableText"/>
              <w:ind w:left="157"/>
              <w:spacing w:before="90" w:line="219" w:lineRule="auto"/>
              <w:rPr/>
            </w:pPr>
            <w:r>
              <w:rPr>
                <w:spacing w:val="-2"/>
              </w:rPr>
              <w:t>最大值</w:t>
            </w:r>
          </w:p>
          <w:p>
            <w:pPr>
              <w:pStyle w:val="TableText"/>
              <w:ind w:left="277"/>
              <w:spacing w:before="72" w:line="222" w:lineRule="auto"/>
              <w:rPr/>
            </w:pPr>
            <w:r>
              <w:rPr>
                <w:spacing w:val="-8"/>
              </w:rPr>
              <w:t>(m)</w:t>
            </w:r>
          </w:p>
        </w:tc>
        <w:tc>
          <w:tcPr>
            <w:tcW w:w="1263" w:type="dxa"/>
            <w:vAlign w:val="top"/>
          </w:tcPr>
          <w:p>
            <w:pPr>
              <w:pStyle w:val="TableText"/>
              <w:ind w:left="308" w:right="269"/>
              <w:spacing w:before="222" w:line="315" w:lineRule="auto"/>
              <w:jc w:val="both"/>
              <w:rPr/>
            </w:pPr>
            <w:r>
              <w:rPr>
                <w:spacing w:val="-2"/>
              </w:rPr>
              <w:t>人均住宅</w:t>
            </w:r>
            <w:r>
              <w:rPr/>
              <w:t xml:space="preserve"> </w:t>
            </w:r>
            <w:r>
              <w:rPr>
                <w:spacing w:val="-2"/>
              </w:rPr>
              <w:t>用地面积</w:t>
            </w:r>
            <w:r>
              <w:rPr/>
              <w:t xml:space="preserve"> </w:t>
            </w:r>
            <w:r>
              <w:rPr>
                <w:spacing w:val="19"/>
              </w:rPr>
              <w:t>(m²/人)</w:t>
            </w:r>
          </w:p>
        </w:tc>
      </w:tr>
      <w:tr>
        <w:trPr>
          <w:trHeight w:val="619" w:hRule="atLeast"/>
        </w:trPr>
        <w:tc>
          <w:tcPr>
            <w:tcW w:w="634" w:type="dxa"/>
            <w:vAlign w:val="top"/>
            <w:vMerge w:val="restart"/>
            <w:tcBorders>
              <w:bottom w:val="nil"/>
            </w:tcBorders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spacing w:before="52" w:line="235" w:lineRule="auto"/>
              <w:jc w:val="right"/>
              <w:rPr/>
            </w:pPr>
            <w:r>
              <w:rPr>
                <w:spacing w:val="-8"/>
              </w:rPr>
              <w:t>I、ⅢⅡ</w:t>
            </w:r>
          </w:p>
        </w:tc>
        <w:tc>
          <w:tcPr>
            <w:tcW w:w="958" w:type="dxa"/>
            <w:vAlign w:val="top"/>
          </w:tcPr>
          <w:p>
            <w:pPr>
              <w:pStyle w:val="TableText"/>
              <w:ind w:left="311"/>
              <w:spacing w:before="128" w:line="219" w:lineRule="auto"/>
              <w:rPr/>
            </w:pPr>
            <w:r>
              <w:rPr>
                <w:spacing w:val="-2"/>
              </w:rPr>
              <w:t>低层</w:t>
            </w:r>
          </w:p>
          <w:p>
            <w:pPr>
              <w:pStyle w:val="TableText"/>
              <w:ind w:left="191"/>
              <w:spacing w:before="60" w:line="219" w:lineRule="auto"/>
              <w:rPr/>
            </w:pPr>
            <w:r>
              <w:rPr>
                <w:spacing w:val="5"/>
              </w:rPr>
              <w:t>(1~3层)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73"/>
              <w:spacing w:before="242" w:line="235" w:lineRule="auto"/>
              <w:rPr/>
            </w:pPr>
            <w:r>
              <w:rPr>
                <w:spacing w:val="-3"/>
              </w:rPr>
              <w:t>1.0、1.1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4"/>
              <w:spacing w:before="244" w:line="241" w:lineRule="auto"/>
              <w:rPr/>
            </w:pPr>
            <w:r>
              <w:rPr>
                <w:spacing w:val="-2"/>
              </w:rPr>
              <w:t>42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25"/>
              <w:spacing w:before="244"/>
              <w:rPr/>
            </w:pPr>
            <w:r>
              <w:rPr>
                <w:spacing w:val="-3"/>
              </w:rPr>
              <w:t>25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244" w:line="241" w:lineRule="auto"/>
              <w:rPr/>
            </w:pPr>
            <w:r>
              <w:rPr>
                <w:spacing w:val="-5"/>
              </w:rPr>
              <w:t>11</w:t>
            </w:r>
          </w:p>
        </w:tc>
        <w:tc>
          <w:tcPr>
            <w:tcW w:w="1263" w:type="dxa"/>
            <w:vAlign w:val="top"/>
          </w:tcPr>
          <w:p>
            <w:pPr>
              <w:pStyle w:val="TableText"/>
              <w:ind w:left="388"/>
              <w:spacing w:before="244"/>
              <w:rPr/>
            </w:pPr>
            <w:r>
              <w:rPr>
                <w:spacing w:val="-2"/>
              </w:rPr>
              <w:t>32～36</w:t>
            </w:r>
          </w:p>
        </w:tc>
      </w:tr>
      <w:tr>
        <w:trPr>
          <w:trHeight w:val="619" w:hRule="atLeast"/>
        </w:trPr>
        <w:tc>
          <w:tcPr>
            <w:tcW w:w="63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8" w:type="dxa"/>
            <w:vAlign w:val="top"/>
          </w:tcPr>
          <w:p>
            <w:pPr>
              <w:pStyle w:val="TableText"/>
              <w:ind w:left="191"/>
              <w:spacing w:before="129" w:line="219" w:lineRule="auto"/>
              <w:rPr/>
            </w:pPr>
            <w:r>
              <w:rPr>
                <w:spacing w:val="1"/>
              </w:rPr>
              <w:t>多层I类</w:t>
            </w:r>
          </w:p>
          <w:p>
            <w:pPr>
              <w:pStyle w:val="TableText"/>
              <w:ind w:left="151"/>
              <w:spacing w:before="80" w:line="219" w:lineRule="auto"/>
              <w:rPr/>
            </w:pPr>
            <w:r>
              <w:rPr>
                <w:spacing w:val="5"/>
              </w:rPr>
              <w:t>(4～6层)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73"/>
              <w:spacing w:before="243" w:line="235" w:lineRule="auto"/>
              <w:rPr/>
            </w:pPr>
            <w:r>
              <w:rPr>
                <w:spacing w:val="-3"/>
              </w:rPr>
              <w:t>1.4、1.5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4"/>
              <w:spacing w:before="245"/>
              <w:rPr/>
            </w:pPr>
            <w:r>
              <w:rPr>
                <w:spacing w:val="-3"/>
              </w:rPr>
              <w:t>32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25"/>
              <w:spacing w:before="245"/>
              <w:rPr/>
            </w:pPr>
            <w:r>
              <w:rPr>
                <w:spacing w:val="-3"/>
              </w:rPr>
              <w:t>28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245"/>
              <w:rPr/>
            </w:pPr>
            <w:r>
              <w:rPr>
                <w:spacing w:val="-3"/>
              </w:rPr>
              <w:t>20</w:t>
            </w:r>
          </w:p>
        </w:tc>
        <w:tc>
          <w:tcPr>
            <w:tcW w:w="1263" w:type="dxa"/>
            <w:vAlign w:val="top"/>
          </w:tcPr>
          <w:p>
            <w:pPr>
              <w:pStyle w:val="TableText"/>
              <w:ind w:left="388"/>
              <w:spacing w:before="245"/>
              <w:rPr/>
            </w:pPr>
            <w:r>
              <w:rPr>
                <w:spacing w:val="-2"/>
              </w:rPr>
              <w:t>24～26</w:t>
            </w:r>
          </w:p>
        </w:tc>
      </w:tr>
      <w:tr>
        <w:trPr>
          <w:trHeight w:val="628" w:hRule="atLeast"/>
        </w:trPr>
        <w:tc>
          <w:tcPr>
            <w:tcW w:w="634" w:type="dxa"/>
            <w:vAlign w:val="top"/>
            <w:vMerge w:val="restart"/>
            <w:tcBorders>
              <w:bottom w:val="nil"/>
            </w:tcBorders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5"/>
              <w:spacing w:before="52" w:line="235" w:lineRule="auto"/>
              <w:rPr/>
            </w:pPr>
            <w:r>
              <w:rPr>
                <w:spacing w:val="-10"/>
              </w:rPr>
              <w:t>Ⅱ、V</w:t>
            </w:r>
          </w:p>
        </w:tc>
        <w:tc>
          <w:tcPr>
            <w:tcW w:w="958" w:type="dxa"/>
            <w:vAlign w:val="top"/>
          </w:tcPr>
          <w:p>
            <w:pPr>
              <w:pStyle w:val="TableText"/>
              <w:ind w:left="311"/>
              <w:spacing w:before="120" w:line="219" w:lineRule="auto"/>
              <w:rPr/>
            </w:pPr>
            <w:r>
              <w:rPr>
                <w:spacing w:val="-2"/>
              </w:rPr>
              <w:t>低层</w:t>
            </w:r>
          </w:p>
          <w:p>
            <w:pPr>
              <w:pStyle w:val="TableText"/>
              <w:ind w:left="191"/>
              <w:spacing w:before="80" w:line="219" w:lineRule="auto"/>
              <w:rPr/>
            </w:pPr>
            <w:r>
              <w:rPr>
                <w:spacing w:val="5"/>
              </w:rPr>
              <w:t>(1~3层)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73"/>
              <w:spacing w:before="254" w:line="235" w:lineRule="auto"/>
              <w:rPr/>
            </w:pPr>
            <w:r>
              <w:rPr>
                <w:spacing w:val="-3"/>
              </w:rPr>
              <w:t>1.1、1.2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4"/>
              <w:spacing w:before="256"/>
              <w:rPr/>
            </w:pPr>
            <w:r>
              <w:rPr>
                <w:spacing w:val="-2"/>
              </w:rPr>
              <w:t>47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25"/>
              <w:spacing w:before="256"/>
              <w:rPr/>
            </w:pPr>
            <w:r>
              <w:rPr>
                <w:spacing w:val="-3"/>
              </w:rPr>
              <w:t>23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256" w:line="241" w:lineRule="auto"/>
              <w:rPr/>
            </w:pPr>
            <w:r>
              <w:rPr>
                <w:spacing w:val="-5"/>
              </w:rPr>
              <w:t>11</w:t>
            </w:r>
          </w:p>
        </w:tc>
        <w:tc>
          <w:tcPr>
            <w:tcW w:w="1263" w:type="dxa"/>
            <w:vAlign w:val="top"/>
          </w:tcPr>
          <w:p>
            <w:pPr>
              <w:pStyle w:val="TableText"/>
              <w:ind w:left="427"/>
              <w:spacing w:before="256"/>
              <w:rPr/>
            </w:pPr>
            <w:r>
              <w:rPr>
                <w:spacing w:val="-2"/>
              </w:rPr>
              <w:t>30~32</w:t>
            </w:r>
          </w:p>
        </w:tc>
      </w:tr>
      <w:tr>
        <w:trPr>
          <w:trHeight w:val="629" w:hRule="atLeast"/>
        </w:trPr>
        <w:tc>
          <w:tcPr>
            <w:tcW w:w="63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8" w:type="dxa"/>
            <w:vAlign w:val="top"/>
          </w:tcPr>
          <w:p>
            <w:pPr>
              <w:pStyle w:val="TableText"/>
              <w:ind w:left="191"/>
              <w:spacing w:before="122" w:line="219" w:lineRule="auto"/>
              <w:rPr/>
            </w:pPr>
            <w:r>
              <w:rPr>
                <w:spacing w:val="1"/>
              </w:rPr>
              <w:t>多层I类</w:t>
            </w:r>
          </w:p>
          <w:p>
            <w:pPr>
              <w:pStyle w:val="TableText"/>
              <w:ind w:left="151"/>
              <w:spacing w:before="70" w:line="219" w:lineRule="auto"/>
              <w:rPr/>
            </w:pPr>
            <w:r>
              <w:rPr>
                <w:spacing w:val="5"/>
              </w:rPr>
              <w:t>(4～6层)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113"/>
              <w:spacing w:before="258" w:line="239" w:lineRule="auto"/>
              <w:rPr/>
            </w:pPr>
            <w:r>
              <w:rPr>
                <w:spacing w:val="-3"/>
              </w:rPr>
              <w:t>1.5~1.7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4"/>
              <w:spacing w:before="258"/>
              <w:rPr/>
            </w:pPr>
            <w:r>
              <w:rPr>
                <w:spacing w:val="-3"/>
              </w:rPr>
              <w:t>38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25"/>
              <w:spacing w:before="258"/>
              <w:rPr/>
            </w:pPr>
            <w:r>
              <w:rPr>
                <w:spacing w:val="-3"/>
              </w:rPr>
              <w:t>28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258"/>
              <w:rPr/>
            </w:pPr>
            <w:r>
              <w:rPr>
                <w:spacing w:val="-3"/>
              </w:rPr>
              <w:t>20</w:t>
            </w:r>
          </w:p>
        </w:tc>
        <w:tc>
          <w:tcPr>
            <w:tcW w:w="1263" w:type="dxa"/>
            <w:vAlign w:val="top"/>
          </w:tcPr>
          <w:p>
            <w:pPr>
              <w:pStyle w:val="TableText"/>
              <w:ind w:left="427"/>
              <w:spacing w:before="258" w:line="241" w:lineRule="auto"/>
              <w:rPr/>
            </w:pPr>
            <w:r>
              <w:rPr>
                <w:spacing w:val="-2"/>
              </w:rPr>
              <w:t>21~24</w:t>
            </w:r>
          </w:p>
        </w:tc>
      </w:tr>
      <w:tr>
        <w:trPr>
          <w:trHeight w:val="628" w:hRule="atLeast"/>
        </w:trPr>
        <w:tc>
          <w:tcPr>
            <w:tcW w:w="634" w:type="dxa"/>
            <w:vAlign w:val="top"/>
            <w:vMerge w:val="restart"/>
            <w:tcBorders>
              <w:bottom w:val="nil"/>
            </w:tcBorders>
          </w:tcPr>
          <w:p>
            <w:pPr>
              <w:spacing w:line="4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spacing w:before="52" w:line="235" w:lineRule="auto"/>
              <w:jc w:val="right"/>
              <w:rPr/>
            </w:pPr>
            <w:r>
              <w:rPr>
                <w:spacing w:val="-7"/>
              </w:rPr>
              <w:t>Ⅲ、IV、</w:t>
            </w:r>
          </w:p>
          <w:p>
            <w:pPr>
              <w:pStyle w:val="TableText"/>
              <w:ind w:left="265"/>
              <w:spacing w:before="74" w:line="182" w:lineRule="auto"/>
              <w:rPr/>
            </w:pPr>
            <w:r>
              <w:rPr/>
              <w:t>V</w:t>
            </w:r>
          </w:p>
        </w:tc>
        <w:tc>
          <w:tcPr>
            <w:tcW w:w="958" w:type="dxa"/>
            <w:vAlign w:val="top"/>
          </w:tcPr>
          <w:p>
            <w:pPr>
              <w:pStyle w:val="TableText"/>
              <w:ind w:left="311"/>
              <w:spacing w:before="103" w:line="219" w:lineRule="auto"/>
              <w:rPr/>
            </w:pPr>
            <w:r>
              <w:rPr>
                <w:spacing w:val="-2"/>
              </w:rPr>
              <w:t>低层</w:t>
            </w:r>
          </w:p>
          <w:p>
            <w:pPr>
              <w:pStyle w:val="TableText"/>
              <w:ind w:left="191"/>
              <w:spacing w:before="90" w:line="219" w:lineRule="auto"/>
              <w:rPr/>
            </w:pPr>
            <w:r>
              <w:rPr>
                <w:spacing w:val="5"/>
              </w:rPr>
              <w:t>(1~3层)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73"/>
              <w:spacing w:before="257" w:line="235" w:lineRule="auto"/>
              <w:rPr/>
            </w:pPr>
            <w:r>
              <w:rPr>
                <w:spacing w:val="-3"/>
              </w:rPr>
              <w:t>1.2、1.3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4"/>
              <w:spacing w:before="259"/>
              <w:rPr/>
            </w:pPr>
            <w:r>
              <w:rPr>
                <w:spacing w:val="-3"/>
              </w:rPr>
              <w:t>50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25"/>
              <w:spacing w:before="259"/>
              <w:rPr/>
            </w:pPr>
            <w:r>
              <w:rPr>
                <w:spacing w:val="-3"/>
              </w:rPr>
              <w:t>20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259" w:line="241" w:lineRule="auto"/>
              <w:rPr/>
            </w:pPr>
            <w:r>
              <w:rPr>
                <w:spacing w:val="-5"/>
              </w:rPr>
              <w:t>11</w:t>
            </w:r>
          </w:p>
        </w:tc>
        <w:tc>
          <w:tcPr>
            <w:tcW w:w="1263" w:type="dxa"/>
            <w:vAlign w:val="top"/>
          </w:tcPr>
          <w:p>
            <w:pPr>
              <w:pStyle w:val="TableText"/>
              <w:ind w:left="388"/>
              <w:spacing w:before="259"/>
              <w:rPr/>
            </w:pPr>
            <w:r>
              <w:rPr>
                <w:spacing w:val="-2"/>
              </w:rPr>
              <w:t>27～30</w:t>
            </w:r>
          </w:p>
        </w:tc>
      </w:tr>
      <w:tr>
        <w:trPr>
          <w:trHeight w:val="624" w:hRule="atLeast"/>
        </w:trPr>
        <w:tc>
          <w:tcPr>
            <w:tcW w:w="63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8" w:type="dxa"/>
            <w:vAlign w:val="top"/>
          </w:tcPr>
          <w:p>
            <w:pPr>
              <w:pStyle w:val="TableText"/>
              <w:ind w:left="191"/>
              <w:spacing w:before="125" w:line="219" w:lineRule="auto"/>
              <w:rPr/>
            </w:pPr>
            <w:r>
              <w:rPr>
                <w:spacing w:val="1"/>
              </w:rPr>
              <w:t>多层I类</w:t>
            </w:r>
          </w:p>
          <w:p>
            <w:pPr>
              <w:pStyle w:val="TableText"/>
              <w:ind w:left="151"/>
              <w:spacing w:before="70" w:line="219" w:lineRule="auto"/>
              <w:rPr/>
            </w:pPr>
            <w:r>
              <w:rPr>
                <w:spacing w:val="5"/>
              </w:rPr>
              <w:t>(4～6层)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73"/>
              <w:spacing w:before="251" w:line="239" w:lineRule="auto"/>
              <w:rPr/>
            </w:pPr>
            <w:r>
              <w:rPr>
                <w:spacing w:val="-3"/>
              </w:rPr>
              <w:t>1.6～1.8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4"/>
              <w:spacing w:before="251" w:line="241" w:lineRule="auto"/>
              <w:rPr/>
            </w:pPr>
            <w:r>
              <w:rPr>
                <w:spacing w:val="-2"/>
              </w:rPr>
              <w:t>42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25"/>
              <w:spacing w:before="251"/>
              <w:rPr/>
            </w:pPr>
            <w:r>
              <w:rPr>
                <w:spacing w:val="-3"/>
              </w:rPr>
              <w:t>25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251"/>
              <w:rPr/>
            </w:pPr>
            <w:r>
              <w:rPr>
                <w:spacing w:val="-3"/>
              </w:rPr>
              <w:t>20</w:t>
            </w:r>
          </w:p>
        </w:tc>
        <w:tc>
          <w:tcPr>
            <w:tcW w:w="1263" w:type="dxa"/>
            <w:vAlign w:val="top"/>
          </w:tcPr>
          <w:p>
            <w:pPr>
              <w:pStyle w:val="TableText"/>
              <w:ind w:left="427"/>
              <w:spacing w:before="251"/>
              <w:rPr/>
            </w:pPr>
            <w:r>
              <w:rPr>
                <w:spacing w:val="-2"/>
              </w:rPr>
              <w:t>20~22</w:t>
            </w:r>
          </w:p>
        </w:tc>
      </w:tr>
    </w:tbl>
    <w:p>
      <w:pPr>
        <w:pStyle w:val="BodyText"/>
        <w:ind w:left="5"/>
        <w:spacing w:before="222" w:line="276" w:lineRule="auto"/>
        <w:jc w:val="both"/>
        <w:rPr>
          <w:sz w:val="20"/>
          <w:szCs w:val="20"/>
        </w:rPr>
      </w:pPr>
      <w:r>
        <w:rPr>
          <w:sz w:val="20"/>
          <w:szCs w:val="20"/>
          <w:spacing w:val="15"/>
        </w:rPr>
        <w:t>3.1.2  住宅建筑间距应按表3.</w:t>
      </w:r>
      <w:r>
        <w:rPr>
          <w:sz w:val="20"/>
          <w:szCs w:val="20"/>
          <w:spacing w:val="-46"/>
        </w:rPr>
        <w:t xml:space="preserve"> </w:t>
      </w:r>
      <w:r>
        <w:rPr>
          <w:sz w:val="20"/>
          <w:szCs w:val="20"/>
          <w:spacing w:val="15"/>
        </w:rPr>
        <w:t>1.2规定的日照标准进行控制。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17"/>
        </w:rPr>
        <w:t>旧区改建项目内新建住宅建筑日照标准不应低于大寒日日照时</w:t>
      </w:r>
      <w:r>
        <w:rPr>
          <w:sz w:val="20"/>
          <w:szCs w:val="20"/>
        </w:rPr>
        <w:t xml:space="preserve">  </w:t>
      </w:r>
      <w:r>
        <w:rPr>
          <w:sz w:val="20"/>
          <w:szCs w:val="20"/>
          <w:spacing w:val="-14"/>
        </w:rPr>
        <w:t>数</w:t>
      </w:r>
      <w:r>
        <w:rPr>
          <w:sz w:val="20"/>
          <w:szCs w:val="20"/>
          <w:spacing w:val="13"/>
        </w:rPr>
        <w:t xml:space="preserve"> </w:t>
      </w:r>
      <w:r>
        <w:rPr>
          <w:sz w:val="20"/>
          <w:szCs w:val="20"/>
          <w:spacing w:val="-14"/>
        </w:rPr>
        <w:t>1</w:t>
      </w:r>
      <w:r>
        <w:rPr>
          <w:rFonts w:ascii="Times New Roman" w:hAnsi="Times New Roman" w:eastAsia="Times New Roman" w:cs="Times New Roman"/>
          <w:sz w:val="20"/>
          <w:szCs w:val="20"/>
          <w:spacing w:val="-14"/>
        </w:rPr>
        <w:t>h</w:t>
      </w:r>
      <w:r>
        <w:rPr>
          <w:sz w:val="20"/>
          <w:szCs w:val="20"/>
          <w:spacing w:val="-14"/>
        </w:rPr>
        <w:t>。</w:t>
      </w:r>
    </w:p>
    <w:p>
      <w:pPr>
        <w:ind w:left="1827"/>
        <w:spacing w:line="221" w:lineRule="auto"/>
        <w:rPr>
          <w:rFonts w:ascii="SimHei" w:hAnsi="SimHei" w:eastAsia="SimHei" w:cs="SimHei"/>
          <w:sz w:val="20"/>
          <w:szCs w:val="20"/>
        </w:rPr>
      </w:pP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表3.1.2</w:t>
      </w:r>
      <w:r>
        <w:rPr>
          <w:rFonts w:ascii="SimHei" w:hAnsi="SimHei" w:eastAsia="SimHei" w:cs="SimHei"/>
          <w:sz w:val="20"/>
          <w:szCs w:val="20"/>
          <w:spacing w:val="82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住宅建筑日照标准</w:t>
      </w:r>
    </w:p>
    <w:p>
      <w:pPr>
        <w:spacing w:line="40" w:lineRule="exact"/>
        <w:rPr/>
      </w:pPr>
      <w:r/>
    </w:p>
    <w:tbl>
      <w:tblPr>
        <w:tblStyle w:val="TableNormal"/>
        <w:tblW w:w="588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592"/>
        <w:gridCol w:w="958"/>
        <w:gridCol w:w="939"/>
        <w:gridCol w:w="649"/>
        <w:gridCol w:w="629"/>
        <w:gridCol w:w="1113"/>
      </w:tblGrid>
      <w:tr>
        <w:trPr>
          <w:trHeight w:val="314" w:hRule="atLeast"/>
        </w:trPr>
        <w:tc>
          <w:tcPr>
            <w:tcW w:w="1592" w:type="dxa"/>
            <w:vAlign w:val="top"/>
          </w:tcPr>
          <w:p>
            <w:pPr>
              <w:pStyle w:val="TableText"/>
              <w:ind w:left="305"/>
              <w:spacing w:before="81" w:line="219" w:lineRule="auto"/>
              <w:rPr/>
            </w:pPr>
            <w:r>
              <w:rPr>
                <w:spacing w:val="-2"/>
              </w:rPr>
              <w:t>建筑气候区划</w:t>
            </w:r>
          </w:p>
        </w:tc>
        <w:tc>
          <w:tcPr>
            <w:tcW w:w="1897" w:type="dxa"/>
            <w:vAlign w:val="top"/>
            <w:gridSpan w:val="2"/>
          </w:tcPr>
          <w:p>
            <w:pPr>
              <w:pStyle w:val="TableText"/>
              <w:ind w:left="223"/>
              <w:spacing w:before="81" w:line="219" w:lineRule="auto"/>
              <w:rPr/>
            </w:pPr>
            <w:r>
              <w:rPr>
                <w:spacing w:val="1"/>
              </w:rPr>
              <w:t>I、Ⅱ、Ⅲ、VⅡ气候区</w:t>
            </w:r>
          </w:p>
        </w:tc>
        <w:tc>
          <w:tcPr>
            <w:tcW w:w="1278" w:type="dxa"/>
            <w:vAlign w:val="top"/>
            <w:gridSpan w:val="2"/>
          </w:tcPr>
          <w:p>
            <w:pPr>
              <w:pStyle w:val="TableText"/>
              <w:ind w:left="336"/>
              <w:spacing w:before="81" w:line="219" w:lineRule="auto"/>
              <w:rPr/>
            </w:pPr>
            <w:r>
              <w:rPr/>
              <w:t>IV</w:t>
            </w:r>
            <w:r>
              <w:rPr>
                <w:spacing w:val="4"/>
              </w:rPr>
              <w:t>气候区</w:t>
            </w:r>
          </w:p>
        </w:tc>
        <w:tc>
          <w:tcPr>
            <w:tcW w:w="1113" w:type="dxa"/>
            <w:vAlign w:val="top"/>
          </w:tcPr>
          <w:p>
            <w:pPr>
              <w:pStyle w:val="TableText"/>
              <w:ind w:left="148"/>
              <w:spacing w:before="81" w:line="219" w:lineRule="auto"/>
              <w:rPr/>
            </w:pPr>
            <w:r>
              <w:rPr>
                <w:spacing w:val="-1"/>
              </w:rPr>
              <w:t>V、V气候区</w:t>
            </w:r>
          </w:p>
        </w:tc>
      </w:tr>
      <w:tr>
        <w:trPr>
          <w:trHeight w:val="627" w:hRule="atLeast"/>
        </w:trPr>
        <w:tc>
          <w:tcPr>
            <w:tcW w:w="1592" w:type="dxa"/>
            <w:vAlign w:val="top"/>
          </w:tcPr>
          <w:p>
            <w:pPr>
              <w:pStyle w:val="TableText"/>
              <w:ind w:left="65"/>
              <w:spacing w:before="117" w:line="219" w:lineRule="auto"/>
              <w:rPr/>
            </w:pPr>
            <w:r>
              <w:rPr>
                <w:spacing w:val="2"/>
              </w:rPr>
              <w:t>城区或镇区常住人口</w:t>
            </w:r>
          </w:p>
          <w:p>
            <w:pPr>
              <w:pStyle w:val="TableText"/>
              <w:ind w:left="545"/>
              <w:spacing w:before="80" w:line="220" w:lineRule="auto"/>
              <w:rPr/>
            </w:pPr>
            <w:r>
              <w:rPr>
                <w:spacing w:val="8"/>
              </w:rPr>
              <w:t>(万人)</w:t>
            </w:r>
          </w:p>
        </w:tc>
        <w:tc>
          <w:tcPr>
            <w:tcW w:w="958" w:type="dxa"/>
            <w:vAlign w:val="top"/>
          </w:tcPr>
          <w:p>
            <w:pPr>
              <w:pStyle w:val="TableText"/>
              <w:ind w:left="313"/>
              <w:spacing w:before="253" w:line="237" w:lineRule="auto"/>
              <w:rPr/>
            </w:pPr>
            <w:r>
              <w:rPr>
                <w:spacing w:val="-6"/>
              </w:rPr>
              <w:t>≥50</w:t>
            </w:r>
          </w:p>
        </w:tc>
        <w:tc>
          <w:tcPr>
            <w:tcW w:w="939" w:type="dxa"/>
            <w:vAlign w:val="top"/>
          </w:tcPr>
          <w:p>
            <w:pPr>
              <w:pStyle w:val="TableText"/>
              <w:ind w:left="314"/>
              <w:spacing w:before="253"/>
              <w:rPr/>
            </w:pPr>
            <w:r>
              <w:rPr>
                <w:spacing w:val="-3"/>
              </w:rPr>
              <w:t>&lt;50</w:t>
            </w:r>
          </w:p>
        </w:tc>
        <w:tc>
          <w:tcPr>
            <w:tcW w:w="649" w:type="dxa"/>
            <w:vAlign w:val="top"/>
          </w:tcPr>
          <w:p>
            <w:pPr>
              <w:pStyle w:val="TableText"/>
              <w:ind w:left="146"/>
              <w:spacing w:before="253" w:line="237" w:lineRule="auto"/>
              <w:rPr/>
            </w:pPr>
            <w:r>
              <w:rPr>
                <w:spacing w:val="-6"/>
              </w:rPr>
              <w:t>≥50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137"/>
              <w:spacing w:before="253"/>
              <w:rPr/>
            </w:pPr>
            <w:r>
              <w:rPr>
                <w:spacing w:val="-3"/>
              </w:rPr>
              <w:t>&lt;50</w:t>
            </w:r>
          </w:p>
        </w:tc>
        <w:tc>
          <w:tcPr>
            <w:tcW w:w="1113" w:type="dxa"/>
            <w:vAlign w:val="top"/>
          </w:tcPr>
          <w:p>
            <w:pPr>
              <w:pStyle w:val="TableText"/>
              <w:ind w:left="308"/>
              <w:spacing w:before="238" w:line="220" w:lineRule="auto"/>
              <w:rPr/>
            </w:pPr>
            <w:r>
              <w:rPr>
                <w:spacing w:val="-2"/>
              </w:rPr>
              <w:t>无限定</w:t>
            </w:r>
          </w:p>
        </w:tc>
      </w:tr>
      <w:tr>
        <w:trPr>
          <w:trHeight w:val="309" w:hRule="atLeast"/>
        </w:trPr>
        <w:tc>
          <w:tcPr>
            <w:tcW w:w="1592" w:type="dxa"/>
            <w:vAlign w:val="top"/>
          </w:tcPr>
          <w:p>
            <w:pPr>
              <w:pStyle w:val="TableText"/>
              <w:ind w:left="385"/>
              <w:spacing w:before="81" w:line="220" w:lineRule="auto"/>
              <w:rPr/>
            </w:pPr>
            <w:r>
              <w:rPr>
                <w:spacing w:val="5"/>
              </w:rPr>
              <w:t>日照标准日</w:t>
            </w:r>
          </w:p>
        </w:tc>
        <w:tc>
          <w:tcPr>
            <w:tcW w:w="2546" w:type="dxa"/>
            <w:vAlign w:val="top"/>
            <w:gridSpan w:val="3"/>
          </w:tcPr>
          <w:p>
            <w:pPr>
              <w:pStyle w:val="TableText"/>
              <w:ind w:left="1023"/>
              <w:spacing w:before="81" w:line="220" w:lineRule="auto"/>
              <w:rPr/>
            </w:pPr>
            <w:r>
              <w:rPr>
                <w:spacing w:val="9"/>
              </w:rPr>
              <w:t>大寒日</w:t>
            </w:r>
          </w:p>
        </w:tc>
        <w:tc>
          <w:tcPr>
            <w:tcW w:w="1742" w:type="dxa"/>
            <w:vAlign w:val="top"/>
            <w:gridSpan w:val="2"/>
          </w:tcPr>
          <w:p>
            <w:pPr>
              <w:pStyle w:val="TableText"/>
              <w:ind w:left="627"/>
              <w:spacing w:before="83" w:line="224" w:lineRule="auto"/>
              <w:rPr/>
            </w:pPr>
            <w:r>
              <w:rPr>
                <w:spacing w:val="9"/>
              </w:rPr>
              <w:t>冬至日</w:t>
            </w:r>
          </w:p>
        </w:tc>
      </w:tr>
      <w:tr>
        <w:trPr>
          <w:trHeight w:val="308" w:hRule="atLeast"/>
        </w:trPr>
        <w:tc>
          <w:tcPr>
            <w:tcW w:w="1592" w:type="dxa"/>
            <w:vAlign w:val="top"/>
          </w:tcPr>
          <w:p>
            <w:pPr>
              <w:pStyle w:val="TableText"/>
              <w:ind w:left="344"/>
              <w:spacing w:before="81" w:line="219" w:lineRule="auto"/>
              <w:rPr/>
            </w:pPr>
            <w:r>
              <w:rPr>
                <w:spacing w:val="5"/>
              </w:rPr>
              <w:t>日照时数(h)</w:t>
            </w:r>
          </w:p>
        </w:tc>
        <w:tc>
          <w:tcPr>
            <w:tcW w:w="958" w:type="dxa"/>
            <w:vAlign w:val="top"/>
          </w:tcPr>
          <w:p>
            <w:pPr>
              <w:pStyle w:val="TableText"/>
              <w:ind w:left="352"/>
              <w:spacing w:before="96" w:line="232" w:lineRule="auto"/>
              <w:rPr/>
            </w:pPr>
            <w:r>
              <w:rPr>
                <w:spacing w:val="-8"/>
              </w:rPr>
              <w:t>≥2</w:t>
            </w:r>
          </w:p>
        </w:tc>
        <w:tc>
          <w:tcPr>
            <w:tcW w:w="1588" w:type="dxa"/>
            <w:vAlign w:val="top"/>
            <w:gridSpan w:val="2"/>
          </w:tcPr>
          <w:p>
            <w:pPr>
              <w:pStyle w:val="TableText"/>
              <w:ind w:left="655"/>
              <w:spacing w:before="96" w:line="232" w:lineRule="auto"/>
              <w:rPr/>
            </w:pPr>
            <w:r>
              <w:rPr>
                <w:spacing w:val="-8"/>
              </w:rPr>
              <w:t>≥3</w:t>
            </w:r>
          </w:p>
        </w:tc>
        <w:tc>
          <w:tcPr>
            <w:tcW w:w="1742" w:type="dxa"/>
            <w:vAlign w:val="top"/>
            <w:gridSpan w:val="2"/>
          </w:tcPr>
          <w:p>
            <w:pPr>
              <w:pStyle w:val="TableText"/>
              <w:ind w:left="747"/>
              <w:spacing w:before="96" w:line="232" w:lineRule="auto"/>
              <w:rPr/>
            </w:pPr>
            <w:r>
              <w:rPr>
                <w:spacing w:val="-8"/>
              </w:rPr>
              <w:t>≥1</w:t>
            </w:r>
          </w:p>
        </w:tc>
      </w:tr>
      <w:tr>
        <w:trPr>
          <w:trHeight w:val="528" w:hRule="atLeast"/>
        </w:trPr>
        <w:tc>
          <w:tcPr>
            <w:tcW w:w="1592" w:type="dxa"/>
            <w:vAlign w:val="top"/>
          </w:tcPr>
          <w:p>
            <w:pPr>
              <w:pStyle w:val="TableText"/>
              <w:ind w:left="225"/>
              <w:spacing w:before="73" w:line="219" w:lineRule="auto"/>
              <w:rPr/>
            </w:pPr>
            <w:r>
              <w:rPr>
                <w:spacing w:val="-1"/>
              </w:rPr>
              <w:t>有效日照时间带</w:t>
            </w:r>
          </w:p>
          <w:p>
            <w:pPr>
              <w:pStyle w:val="TableText"/>
              <w:ind w:left="225"/>
              <w:spacing w:before="69" w:line="213" w:lineRule="auto"/>
              <w:rPr/>
            </w:pPr>
            <w:r>
              <w:rPr>
                <w:spacing w:val="4"/>
              </w:rPr>
              <w:t>(当地真太阳时)</w:t>
            </w:r>
          </w:p>
        </w:tc>
        <w:tc>
          <w:tcPr>
            <w:tcW w:w="2546" w:type="dxa"/>
            <w:vAlign w:val="top"/>
            <w:gridSpan w:val="3"/>
          </w:tcPr>
          <w:p>
            <w:pPr>
              <w:pStyle w:val="TableText"/>
              <w:ind w:left="902"/>
              <w:spacing w:before="195" w:line="221" w:lineRule="auto"/>
              <w:rPr/>
            </w:pPr>
            <w:r>
              <w:rPr>
                <w:spacing w:val="-1"/>
              </w:rPr>
              <w:t>8时～16时</w:t>
            </w:r>
          </w:p>
        </w:tc>
        <w:tc>
          <w:tcPr>
            <w:tcW w:w="1742" w:type="dxa"/>
            <w:vAlign w:val="top"/>
            <w:gridSpan w:val="2"/>
          </w:tcPr>
          <w:p>
            <w:pPr>
              <w:pStyle w:val="TableText"/>
              <w:ind w:left="507"/>
              <w:spacing w:before="195" w:line="221" w:lineRule="auto"/>
              <w:rPr/>
            </w:pPr>
            <w:r>
              <w:rPr>
                <w:spacing w:val="-1"/>
              </w:rPr>
              <w:t>9时～15时</w:t>
            </w:r>
          </w:p>
        </w:tc>
      </w:tr>
      <w:tr>
        <w:trPr>
          <w:trHeight w:val="314" w:hRule="atLeast"/>
        </w:trPr>
        <w:tc>
          <w:tcPr>
            <w:tcW w:w="1592" w:type="dxa"/>
            <w:vAlign w:val="top"/>
          </w:tcPr>
          <w:p>
            <w:pPr>
              <w:pStyle w:val="TableText"/>
              <w:ind w:left="465"/>
              <w:spacing w:before="85" w:line="219" w:lineRule="auto"/>
              <w:rPr/>
            </w:pPr>
            <w:r>
              <w:rPr>
                <w:spacing w:val="3"/>
              </w:rPr>
              <w:t>计算起点</w:t>
            </w:r>
          </w:p>
        </w:tc>
        <w:tc>
          <w:tcPr>
            <w:tcW w:w="4288" w:type="dxa"/>
            <w:vAlign w:val="top"/>
            <w:gridSpan w:val="5"/>
          </w:tcPr>
          <w:p>
            <w:pPr>
              <w:pStyle w:val="TableText"/>
              <w:ind w:left="1743"/>
              <w:spacing w:before="85" w:line="219" w:lineRule="auto"/>
              <w:rPr/>
            </w:pPr>
            <w:r>
              <w:rPr>
                <w:spacing w:val="-1"/>
              </w:rPr>
              <w:t>底层窗台面</w:t>
            </w:r>
          </w:p>
        </w:tc>
      </w:tr>
    </w:tbl>
    <w:p>
      <w:pPr>
        <w:pStyle w:val="BodyText"/>
        <w:ind w:left="185"/>
        <w:spacing w:before="91" w:line="219" w:lineRule="auto"/>
        <w:rPr>
          <w:sz w:val="16"/>
          <w:szCs w:val="16"/>
        </w:rPr>
      </w:pPr>
      <w:r>
        <w:rPr>
          <w:sz w:val="16"/>
          <w:szCs w:val="16"/>
          <w:spacing w:val="-1"/>
        </w:rPr>
        <w:t>注：底层窗台面是指距室内地坪0.9</w:t>
      </w:r>
      <w:r>
        <w:rPr>
          <w:rFonts w:ascii="Times New Roman" w:hAnsi="Times New Roman" w:eastAsia="Times New Roman" w:cs="Times New Roman"/>
          <w:sz w:val="16"/>
          <w:szCs w:val="16"/>
          <w:spacing w:val="-1"/>
        </w:rPr>
        <w:t>m</w:t>
      </w:r>
      <w:r>
        <w:rPr>
          <w:rFonts w:ascii="Times New Roman" w:hAnsi="Times New Roman" w:eastAsia="Times New Roman" w:cs="Times New Roman"/>
          <w:sz w:val="16"/>
          <w:szCs w:val="16"/>
          <w:spacing w:val="-10"/>
        </w:rPr>
        <w:t xml:space="preserve"> </w:t>
      </w:r>
      <w:r>
        <w:rPr>
          <w:sz w:val="16"/>
          <w:szCs w:val="16"/>
          <w:spacing w:val="-1"/>
        </w:rPr>
        <w:t>高的外墙位置。</w:t>
      </w:r>
    </w:p>
    <w:p>
      <w:pPr>
        <w:spacing w:line="219" w:lineRule="auto"/>
        <w:sectPr>
          <w:footerReference w:type="default" r:id="rId9"/>
          <w:pgSz w:w="7940" w:h="11500"/>
          <w:pgMar w:top="823" w:right="960" w:bottom="1011" w:left="1024" w:header="0" w:footer="867" w:gutter="0"/>
        </w:sectPr>
        <w:rPr>
          <w:sz w:val="16"/>
          <w:szCs w:val="16"/>
        </w:rPr>
      </w:pPr>
    </w:p>
    <w:p>
      <w:pPr>
        <w:pStyle w:val="BodyText"/>
        <w:ind w:left="2253"/>
        <w:spacing w:before="68" w:line="220" w:lineRule="auto"/>
        <w:outlineLvl w:val="1"/>
        <w:rPr/>
      </w:pPr>
      <w:bookmarkStart w:name="bookmark9" w:id="13"/>
      <w:bookmarkEnd w:id="13"/>
      <w:r>
        <w:rPr>
          <w:b/>
          <w:bCs/>
          <w:spacing w:val="-5"/>
        </w:rPr>
        <w:t>3.2</w:t>
      </w:r>
      <w:r>
        <w:rPr>
          <w:spacing w:val="-5"/>
        </w:rPr>
        <w:t xml:space="preserve">  </w:t>
      </w:r>
      <w:r>
        <w:rPr>
          <w:b/>
          <w:bCs/>
          <w:spacing w:val="-5"/>
        </w:rPr>
        <w:t>场</w:t>
      </w:r>
      <w:r>
        <w:rPr>
          <w:spacing w:val="1"/>
        </w:rPr>
        <w:t xml:space="preserve">    </w:t>
      </w:r>
      <w:r>
        <w:rPr>
          <w:b/>
          <w:bCs/>
          <w:spacing w:val="-5"/>
        </w:rPr>
        <w:t>地</w:t>
      </w:r>
    </w:p>
    <w:p>
      <w:pPr>
        <w:pStyle w:val="BodyText"/>
        <w:ind w:left="3"/>
        <w:spacing w:before="232" w:line="219" w:lineRule="auto"/>
        <w:rPr/>
      </w:pPr>
      <w:r>
        <w:rPr>
          <w:b/>
          <w:bCs/>
          <w:spacing w:val="-3"/>
        </w:rPr>
        <w:t>3.2.1</w:t>
      </w:r>
      <w:r>
        <w:rPr>
          <w:spacing w:val="-3"/>
        </w:rPr>
        <w:t xml:space="preserve">  住宅项目的场地应保障安全，并应符合下列规定：</w:t>
      </w:r>
    </w:p>
    <w:p>
      <w:pPr>
        <w:pStyle w:val="BodyText"/>
        <w:ind w:firstLine="400"/>
        <w:spacing w:before="59" w:line="255" w:lineRule="auto"/>
        <w:rPr/>
      </w:pPr>
      <w:r>
        <w:rPr>
          <w:spacing w:val="6"/>
        </w:rPr>
        <w:t>1  存在噪声污染、光污染的地段，应采取相应防护措施，</w:t>
      </w:r>
      <w:r>
        <w:rPr>
          <w:spacing w:val="17"/>
        </w:rPr>
        <w:t xml:space="preserve"> </w:t>
      </w:r>
      <w:r>
        <w:rPr>
          <w:spacing w:val="-3"/>
        </w:rPr>
        <w:t>并应达到居住用地声环境和光环境质量要求；</w:t>
      </w:r>
    </w:p>
    <w:p>
      <w:pPr>
        <w:pStyle w:val="BodyText"/>
        <w:ind w:firstLine="400"/>
        <w:spacing w:before="50" w:line="246" w:lineRule="auto"/>
        <w:rPr/>
      </w:pPr>
      <w:r>
        <w:rPr>
          <w:spacing w:val="-1"/>
        </w:rPr>
        <w:t>2</w:t>
      </w:r>
      <w:r>
        <w:rPr>
          <w:spacing w:val="100"/>
        </w:rPr>
        <w:t xml:space="preserve"> </w:t>
      </w:r>
      <w:r>
        <w:rPr>
          <w:spacing w:val="-1"/>
        </w:rPr>
        <w:t>存在土壤污染的地段，应采取有效措施进行无害化处理，</w:t>
      </w:r>
      <w:r>
        <w:rPr/>
        <w:t xml:space="preserve"> </w:t>
      </w:r>
      <w:r>
        <w:rPr>
          <w:spacing w:val="-4"/>
        </w:rPr>
        <w:t>并应达到居住用地土壤环境质量要求；</w:t>
      </w:r>
    </w:p>
    <w:p>
      <w:pPr>
        <w:pStyle w:val="BodyText"/>
        <w:ind w:left="400"/>
        <w:spacing w:before="61" w:line="219" w:lineRule="auto"/>
        <w:rPr/>
      </w:pPr>
      <w:r>
        <w:rPr>
          <w:spacing w:val="-2"/>
        </w:rPr>
        <w:t>3  场地设计应满足应急疏散要求。</w:t>
      </w:r>
    </w:p>
    <w:p>
      <w:pPr>
        <w:pStyle w:val="BodyText"/>
        <w:spacing w:before="70" w:line="219" w:lineRule="auto"/>
        <w:rPr/>
      </w:pPr>
      <w:r>
        <w:rPr>
          <w:rFonts w:ascii="Times New Roman" w:hAnsi="Times New Roman" w:eastAsia="Times New Roman" w:cs="Times New Roman"/>
          <w:b/>
          <w:bCs/>
          <w:spacing w:val="-2"/>
        </w:rPr>
        <w:t>3.2.2      </w:t>
      </w:r>
      <w:r>
        <w:rPr>
          <w:spacing w:val="-2"/>
        </w:rPr>
        <w:t>居住街坊内应设集中绿地，并应符合下列规定：</w:t>
      </w:r>
    </w:p>
    <w:p>
      <w:pPr>
        <w:pStyle w:val="BodyText"/>
        <w:ind w:right="87" w:firstLine="403"/>
        <w:spacing w:before="58" w:line="242" w:lineRule="auto"/>
        <w:rPr>
          <w:rFonts w:ascii="Times New Roman" w:hAnsi="Times New Roman" w:eastAsia="Times New Roman" w:cs="Times New Roman"/>
        </w:rPr>
      </w:pPr>
      <w:r>
        <w:rPr>
          <w:b/>
          <w:bCs/>
          <w:spacing w:val="1"/>
        </w:rPr>
        <w:t>1</w:t>
      </w:r>
      <w:r>
        <w:rPr>
          <w:spacing w:val="111"/>
        </w:rPr>
        <w:t xml:space="preserve"> </w:t>
      </w:r>
      <w:r>
        <w:rPr>
          <w:spacing w:val="1"/>
        </w:rPr>
        <w:t>新区建设项目人均集中绿地面积不应小于0.50m²,</w:t>
      </w:r>
      <w:r>
        <w:rPr>
          <w:spacing w:val="52"/>
        </w:rPr>
        <w:t xml:space="preserve"> </w:t>
      </w:r>
      <w:r>
        <w:rPr>
          <w:spacing w:val="1"/>
        </w:rPr>
        <w:t>旧区</w:t>
      </w:r>
      <w:r>
        <w:rPr/>
        <w:t xml:space="preserve"> </w:t>
      </w:r>
      <w:r>
        <w:rPr>
          <w:spacing w:val="1"/>
        </w:rPr>
        <w:t>改建项目人均集中绿地面积不应小于0.3</w:t>
      </w:r>
      <w:r>
        <w:rPr/>
        <w:t>5</w:t>
      </w:r>
      <w:r>
        <w:rPr>
          <w:rFonts w:ascii="Times New Roman" w:hAnsi="Times New Roman" w:eastAsia="Times New Roman" w:cs="Times New Roman"/>
        </w:rPr>
        <w:t>m²;</w:t>
      </w:r>
    </w:p>
    <w:p>
      <w:pPr>
        <w:pStyle w:val="BodyText"/>
        <w:ind w:left="403"/>
        <w:spacing w:before="93" w:line="219" w:lineRule="auto"/>
        <w:rPr/>
      </w:pPr>
      <w:r>
        <w:rPr>
          <w:b/>
          <w:bCs/>
          <w:spacing w:val="3"/>
        </w:rPr>
        <w:t>2</w:t>
      </w:r>
      <w:r>
        <w:rPr>
          <w:spacing w:val="97"/>
        </w:rPr>
        <w:t xml:space="preserve"> </w:t>
      </w:r>
      <w:r>
        <w:rPr>
          <w:spacing w:val="3"/>
        </w:rPr>
        <w:t>集中绿地宽度不应小于8m;</w:t>
      </w:r>
    </w:p>
    <w:p>
      <w:pPr>
        <w:pStyle w:val="BodyText"/>
        <w:ind w:right="97" w:firstLine="403"/>
        <w:spacing w:before="61" w:line="243" w:lineRule="auto"/>
        <w:rPr/>
      </w:pPr>
      <w:r>
        <w:rPr>
          <w:b/>
          <w:bCs/>
          <w:spacing w:val="3"/>
        </w:rPr>
        <w:t>3</w:t>
      </w:r>
      <w:r>
        <w:rPr>
          <w:spacing w:val="106"/>
        </w:rPr>
        <w:t xml:space="preserve"> </w:t>
      </w:r>
      <w:r>
        <w:rPr>
          <w:spacing w:val="3"/>
        </w:rPr>
        <w:t>集中绿地中，在标准的建筑日照阴影线范围之外的绿地</w:t>
      </w:r>
      <w:r>
        <w:rPr/>
        <w:t xml:space="preserve"> </w:t>
      </w:r>
      <w:r>
        <w:rPr>
          <w:spacing w:val="3"/>
        </w:rPr>
        <w:t>面积占比不应小于1/3,并应设老年人和儿童活动场地。</w:t>
      </w:r>
    </w:p>
    <w:p>
      <w:pPr>
        <w:pStyle w:val="BodyText"/>
        <w:spacing w:before="85" w:line="219" w:lineRule="auto"/>
        <w:rPr/>
      </w:pPr>
      <w:r>
        <w:rPr>
          <w:rFonts w:ascii="Times New Roman" w:hAnsi="Times New Roman" w:eastAsia="Times New Roman" w:cs="Times New Roman"/>
          <w:b/>
          <w:bCs/>
          <w:spacing w:val="-2"/>
        </w:rPr>
        <w:t>3.2.3      </w:t>
      </w:r>
      <w:r>
        <w:rPr>
          <w:spacing w:val="-2"/>
        </w:rPr>
        <w:t>住宅项目应配建附属道路，并应符合下列规定：</w:t>
      </w:r>
    </w:p>
    <w:p>
      <w:pPr>
        <w:pStyle w:val="BodyText"/>
        <w:ind w:right="76" w:firstLine="400"/>
        <w:spacing w:before="61" w:line="242" w:lineRule="auto"/>
        <w:rPr/>
      </w:pPr>
      <w:r>
        <w:rPr>
          <w:spacing w:val="4"/>
        </w:rPr>
        <w:t>1  应与城镇道路系统联通，并应满足急救、</w:t>
      </w:r>
      <w:r>
        <w:rPr>
          <w:spacing w:val="3"/>
        </w:rPr>
        <w:t>消防及运输车</w:t>
      </w:r>
      <w:r>
        <w:rPr/>
        <w:t xml:space="preserve"> </w:t>
      </w:r>
      <w:r>
        <w:rPr>
          <w:spacing w:val="-7"/>
        </w:rPr>
        <w:t>辆的通行要求；</w:t>
      </w:r>
    </w:p>
    <w:p>
      <w:pPr>
        <w:pStyle w:val="BodyText"/>
        <w:ind w:right="95" w:firstLine="400"/>
        <w:spacing w:before="60" w:line="261" w:lineRule="auto"/>
        <w:rPr/>
      </w:pPr>
      <w:r>
        <w:rPr>
          <w:spacing w:val="3"/>
        </w:rPr>
        <w:t>2</w:t>
      </w:r>
      <w:r>
        <w:rPr>
          <w:spacing w:val="112"/>
        </w:rPr>
        <w:t xml:space="preserve"> </w:t>
      </w:r>
      <w:r>
        <w:rPr>
          <w:spacing w:val="3"/>
        </w:rPr>
        <w:t>应与住宅项目场地步行出入口、住宅单元出入口、老年</w:t>
      </w:r>
      <w:r>
        <w:rPr/>
        <w:t xml:space="preserve"> </w:t>
      </w:r>
      <w:r>
        <w:rPr>
          <w:spacing w:val="-2"/>
        </w:rPr>
        <w:t>人和儿童活动场地无障碍联通，并应与城镇道路的人行道联通形</w:t>
      </w:r>
      <w:r>
        <w:rPr>
          <w:spacing w:val="14"/>
        </w:rPr>
        <w:t xml:space="preserve"> </w:t>
      </w:r>
      <w:r>
        <w:rPr>
          <w:spacing w:val="-6"/>
        </w:rPr>
        <w:t>成无障碍步行系统；</w:t>
      </w:r>
    </w:p>
    <w:p>
      <w:pPr>
        <w:pStyle w:val="BodyText"/>
        <w:ind w:left="400"/>
        <w:spacing w:before="71" w:line="219" w:lineRule="auto"/>
        <w:rPr/>
      </w:pPr>
      <w:r>
        <w:rPr>
          <w:spacing w:val="-3"/>
        </w:rPr>
        <w:t>3</w:t>
      </w:r>
      <w:r>
        <w:rPr>
          <w:spacing w:val="114"/>
        </w:rPr>
        <w:t xml:space="preserve"> </w:t>
      </w:r>
      <w:r>
        <w:rPr>
          <w:spacing w:val="-3"/>
        </w:rPr>
        <w:t>步行路面应符合防滑要求。</w:t>
      </w:r>
    </w:p>
    <w:p>
      <w:pPr>
        <w:pStyle w:val="BodyText"/>
        <w:ind w:right="77"/>
        <w:spacing w:before="50" w:line="277" w:lineRule="auto"/>
        <w:rPr/>
      </w:pPr>
      <w:r>
        <w:rPr>
          <w:rFonts w:ascii="Times New Roman" w:hAnsi="Times New Roman" w:eastAsia="Times New Roman" w:cs="Times New Roman"/>
          <w:b/>
          <w:bCs/>
          <w:spacing w:val="10"/>
        </w:rPr>
        <w:t>3.2.4     </w:t>
      </w:r>
      <w:r>
        <w:rPr>
          <w:spacing w:val="10"/>
        </w:rPr>
        <w:t>住宅项目场地的自然坡度大于8.0%时，</w:t>
      </w:r>
      <w:r>
        <w:rPr>
          <w:spacing w:val="9"/>
        </w:rPr>
        <w:t>应采用台地式</w:t>
      </w:r>
      <w:r>
        <w:rPr/>
        <w:t xml:space="preserve"> </w:t>
      </w:r>
      <w:r>
        <w:rPr>
          <w:spacing w:val="-4"/>
        </w:rPr>
        <w:t>布局方式，并应符合下列规定：</w:t>
      </w:r>
    </w:p>
    <w:p>
      <w:pPr>
        <w:pStyle w:val="BodyText"/>
        <w:ind w:left="403"/>
        <w:spacing w:line="219" w:lineRule="auto"/>
        <w:rPr/>
      </w:pPr>
      <w:r>
        <w:rPr>
          <w:b/>
          <w:bCs/>
          <w:spacing w:val="-4"/>
        </w:rPr>
        <w:t>1</w:t>
      </w:r>
      <w:r>
        <w:rPr>
          <w:spacing w:val="25"/>
        </w:rPr>
        <w:t xml:space="preserve">  </w:t>
      </w:r>
      <w:r>
        <w:rPr>
          <w:spacing w:val="-4"/>
        </w:rPr>
        <w:t>台地之间应设护坡或挡土墙等支挡结构；</w:t>
      </w:r>
    </w:p>
    <w:p>
      <w:pPr>
        <w:pStyle w:val="BodyText"/>
        <w:ind w:right="95" w:firstLine="403"/>
        <w:spacing w:before="72" w:line="255" w:lineRule="auto"/>
        <w:rPr/>
      </w:pPr>
      <w:r>
        <w:rPr>
          <w:b/>
          <w:bCs/>
          <w:spacing w:val="7"/>
        </w:rPr>
        <w:t>2</w:t>
      </w:r>
      <w:r>
        <w:rPr>
          <w:spacing w:val="97"/>
        </w:rPr>
        <w:t xml:space="preserve"> </w:t>
      </w:r>
      <w:r>
        <w:rPr>
          <w:spacing w:val="7"/>
        </w:rPr>
        <w:t>高度大于2.0m 的护坡或挡土墙的上缘与高台地上建筑</w:t>
      </w:r>
      <w:r>
        <w:rPr/>
        <w:t xml:space="preserve"> </w:t>
      </w:r>
      <w:r>
        <w:rPr>
          <w:spacing w:val="4"/>
        </w:rPr>
        <w:t>物的水平净距不应小于3.0</w:t>
      </w:r>
      <w:r>
        <w:rPr>
          <w:rFonts w:ascii="Times New Roman" w:hAnsi="Times New Roman" w:eastAsia="Times New Roman" w:cs="Times New Roman"/>
          <w:spacing w:val="4"/>
        </w:rPr>
        <w:t>m,</w:t>
      </w:r>
      <w:r>
        <w:rPr>
          <w:rFonts w:ascii="Times New Roman" w:hAnsi="Times New Roman" w:eastAsia="Times New Roman" w:cs="Times New Roman"/>
          <w:spacing w:val="25"/>
          <w:w w:val="101"/>
        </w:rPr>
        <w:t xml:space="preserve">  </w:t>
      </w:r>
      <w:r>
        <w:rPr>
          <w:spacing w:val="4"/>
        </w:rPr>
        <w:t>其下缘与低台地上建</w:t>
      </w:r>
      <w:r>
        <w:rPr>
          <w:spacing w:val="3"/>
        </w:rPr>
        <w:t>筑物的水平</w:t>
      </w:r>
      <w:r>
        <w:rPr/>
        <w:t xml:space="preserve"> </w:t>
      </w:r>
      <w:r>
        <w:rPr>
          <w:spacing w:val="3"/>
        </w:rPr>
        <w:t>净距不应小于2.0</w:t>
      </w:r>
      <w:r>
        <w:rPr>
          <w:rFonts w:ascii="Times New Roman" w:hAnsi="Times New Roman" w:eastAsia="Times New Roman" w:cs="Times New Roman"/>
          <w:spacing w:val="3"/>
        </w:rPr>
        <w:t>m</w:t>
      </w:r>
      <w:r>
        <w:rPr>
          <w:spacing w:val="3"/>
        </w:rPr>
        <w:t>。</w:t>
      </w:r>
    </w:p>
    <w:p>
      <w:pPr>
        <w:pStyle w:val="BodyText"/>
        <w:ind w:right="75"/>
        <w:spacing w:before="60" w:line="283" w:lineRule="auto"/>
        <w:jc w:val="both"/>
        <w:rPr/>
      </w:pPr>
      <w:r>
        <w:rPr>
          <w:rFonts w:ascii="Times New Roman" w:hAnsi="Times New Roman" w:eastAsia="Times New Roman" w:cs="Times New Roman"/>
          <w:spacing w:val="4"/>
        </w:rPr>
        <w:t>3.2.5     </w:t>
      </w:r>
      <w:r>
        <w:rPr>
          <w:spacing w:val="4"/>
        </w:rPr>
        <w:t>住宅项目场地竖向设计应有利于雨水径流的控制和雨水</w:t>
      </w:r>
      <w:r>
        <w:rPr/>
        <w:t xml:space="preserve"> </w:t>
      </w:r>
      <w:r>
        <w:rPr>
          <w:spacing w:val="-1"/>
        </w:rPr>
        <w:t>的资源化利用，并应满足防洪排涝的要求。场地地面排水设计坡</w:t>
      </w:r>
      <w:r>
        <w:rPr>
          <w:spacing w:val="1"/>
        </w:rPr>
        <w:t xml:space="preserve"> </w:t>
      </w:r>
      <w:r>
        <w:rPr>
          <w:spacing w:val="10"/>
        </w:rPr>
        <w:t>度不应小于0.2%。</w:t>
      </w:r>
    </w:p>
    <w:p>
      <w:pPr>
        <w:spacing w:line="283" w:lineRule="auto"/>
        <w:sectPr>
          <w:footerReference w:type="default" r:id="rId10"/>
          <w:pgSz w:w="7940" w:h="11500"/>
          <w:pgMar w:top="977" w:right="964" w:bottom="1009" w:left="1039" w:header="0" w:footer="867" w:gutter="0"/>
        </w:sectPr>
        <w:rPr/>
      </w:pPr>
    </w:p>
    <w:p>
      <w:pPr>
        <w:pStyle w:val="BodyText"/>
        <w:ind w:right="40"/>
        <w:spacing w:before="41" w:line="275" w:lineRule="auto"/>
        <w:rPr/>
      </w:pPr>
      <w:r>
        <w:rPr>
          <w:rFonts w:ascii="Times New Roman" w:hAnsi="Times New Roman" w:eastAsia="Times New Roman" w:cs="Times New Roman"/>
          <w:b/>
          <w:bCs/>
          <w:spacing w:val="4"/>
        </w:rPr>
        <w:t>3.2.6     </w:t>
      </w:r>
      <w:r>
        <w:rPr>
          <w:spacing w:val="4"/>
        </w:rPr>
        <w:t>住宅建筑高度大于10</w:t>
      </w:r>
      <w:r>
        <w:rPr>
          <w:rFonts w:ascii="Times New Roman" w:hAnsi="Times New Roman" w:eastAsia="Times New Roman" w:cs="Times New Roman"/>
          <w:spacing w:val="4"/>
        </w:rPr>
        <w:t>m</w:t>
      </w:r>
      <w:r>
        <w:rPr>
          <w:rFonts w:ascii="Times New Roman" w:hAnsi="Times New Roman" w:eastAsia="Times New Roman" w:cs="Times New Roman"/>
          <w:spacing w:val="-10"/>
        </w:rPr>
        <w:t xml:space="preserve"> </w:t>
      </w:r>
      <w:r>
        <w:rPr>
          <w:spacing w:val="4"/>
        </w:rPr>
        <w:t>时，外墙面至道路边缘的最小距</w:t>
      </w:r>
      <w:r>
        <w:rPr/>
        <w:t xml:space="preserve"> </w:t>
      </w:r>
      <w:r>
        <w:rPr>
          <w:spacing w:val="3"/>
        </w:rPr>
        <w:t>离，应符合表3.2.6的规定。</w:t>
      </w:r>
    </w:p>
    <w:p>
      <w:pPr>
        <w:ind w:left="1002"/>
        <w:spacing w:before="70" w:line="221" w:lineRule="auto"/>
        <w:rPr>
          <w:rFonts w:ascii="SimHei" w:hAnsi="SimHei" w:eastAsia="SimHei" w:cs="SimHei"/>
          <w:sz w:val="21"/>
          <w:szCs w:val="21"/>
        </w:rPr>
      </w:pPr>
      <w:bookmarkStart w:name="bookmark29" w:id="14"/>
      <w:bookmarkEnd w:id="14"/>
      <w:r>
        <w:rPr>
          <w:rFonts w:ascii="SimHei" w:hAnsi="SimHei" w:eastAsia="SimHei" w:cs="SimHei"/>
          <w:sz w:val="21"/>
          <w:szCs w:val="21"/>
          <w:b/>
          <w:bCs/>
          <w:spacing w:val="-19"/>
          <w:w w:val="96"/>
        </w:rPr>
        <w:t>表3.2.6</w:t>
      </w:r>
      <w:r>
        <w:rPr>
          <w:rFonts w:ascii="SimHei" w:hAnsi="SimHei" w:eastAsia="SimHei" w:cs="SimHei"/>
          <w:sz w:val="21"/>
          <w:szCs w:val="21"/>
          <w:spacing w:val="74"/>
        </w:rPr>
        <w:t xml:space="preserve"> </w:t>
      </w:r>
      <w:r>
        <w:rPr>
          <w:rFonts w:ascii="SimHei" w:hAnsi="SimHei" w:eastAsia="SimHei" w:cs="SimHei"/>
          <w:sz w:val="21"/>
          <w:szCs w:val="21"/>
          <w:b/>
          <w:bCs/>
          <w:spacing w:val="-19"/>
          <w:w w:val="96"/>
        </w:rPr>
        <w:t>住宅建筑外墙面至道路边缘的最小距离</w:t>
      </w:r>
    </w:p>
    <w:p>
      <w:pPr>
        <w:spacing w:line="49" w:lineRule="exact"/>
        <w:rPr/>
      </w:pPr>
      <w:r/>
    </w:p>
    <w:tbl>
      <w:tblPr>
        <w:tblStyle w:val="TableNormal"/>
        <w:tblW w:w="5880" w:type="dxa"/>
        <w:tblInd w:w="1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2870"/>
        <w:gridCol w:w="1428"/>
        <w:gridCol w:w="1582"/>
      </w:tblGrid>
      <w:tr>
        <w:trPr>
          <w:trHeight w:val="312" w:hRule="atLeast"/>
        </w:trPr>
        <w:tc>
          <w:tcPr>
            <w:tcW w:w="2870" w:type="dxa"/>
            <w:vAlign w:val="top"/>
          </w:tcPr>
          <w:p>
            <w:pPr>
              <w:pStyle w:val="TableText"/>
              <w:ind w:left="785"/>
              <w:spacing w:before="81" w:line="219" w:lineRule="auto"/>
              <w:rPr/>
            </w:pPr>
            <w:r>
              <w:rPr>
                <w:spacing w:val="1"/>
              </w:rPr>
              <w:t>建筑与道路的关系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265"/>
              <w:spacing w:before="81" w:line="219" w:lineRule="auto"/>
              <w:rPr/>
            </w:pPr>
            <w:r>
              <w:rPr>
                <w:spacing w:val="5"/>
              </w:rPr>
              <w:t>城镇道路(m)</w:t>
            </w:r>
          </w:p>
        </w:tc>
        <w:tc>
          <w:tcPr>
            <w:tcW w:w="1582" w:type="dxa"/>
            <w:vAlign w:val="top"/>
          </w:tcPr>
          <w:p>
            <w:pPr>
              <w:pStyle w:val="TableText"/>
              <w:ind w:left="347"/>
              <w:spacing w:before="80" w:line="219" w:lineRule="auto"/>
              <w:rPr/>
            </w:pPr>
            <w:r>
              <w:rPr>
                <w:spacing w:val="5"/>
              </w:rPr>
              <w:t>附属道路(m)</w:t>
            </w:r>
          </w:p>
        </w:tc>
      </w:tr>
      <w:tr>
        <w:trPr>
          <w:trHeight w:val="307" w:hRule="atLeast"/>
        </w:trPr>
        <w:tc>
          <w:tcPr>
            <w:tcW w:w="2870" w:type="dxa"/>
            <w:vAlign w:val="top"/>
          </w:tcPr>
          <w:p>
            <w:pPr>
              <w:pStyle w:val="TableText"/>
              <w:ind w:left="385"/>
              <w:spacing w:before="79" w:line="219" w:lineRule="auto"/>
              <w:rPr/>
            </w:pPr>
            <w:r>
              <w:rPr>
                <w:spacing w:val="1"/>
              </w:rPr>
              <w:t>建筑物面向道路无公共出入口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85"/>
              <w:spacing w:before="95" w:line="233" w:lineRule="auto"/>
              <w:rPr/>
            </w:pPr>
            <w:r>
              <w:rPr>
                <w:spacing w:val="-3"/>
              </w:rPr>
              <w:t>3.0</w:t>
            </w:r>
          </w:p>
        </w:tc>
        <w:tc>
          <w:tcPr>
            <w:tcW w:w="1582" w:type="dxa"/>
            <w:vAlign w:val="top"/>
          </w:tcPr>
          <w:p>
            <w:pPr>
              <w:pStyle w:val="TableText"/>
              <w:ind w:left="667"/>
              <w:spacing w:before="95" w:line="233" w:lineRule="auto"/>
              <w:rPr/>
            </w:pPr>
            <w:r>
              <w:rPr>
                <w:spacing w:val="-2"/>
              </w:rPr>
              <w:t>2.0</w:t>
            </w:r>
          </w:p>
        </w:tc>
      </w:tr>
      <w:tr>
        <w:trPr>
          <w:trHeight w:val="308" w:hRule="atLeast"/>
        </w:trPr>
        <w:tc>
          <w:tcPr>
            <w:tcW w:w="2870" w:type="dxa"/>
            <w:vAlign w:val="top"/>
          </w:tcPr>
          <w:p>
            <w:pPr>
              <w:pStyle w:val="TableText"/>
              <w:ind w:left="385"/>
              <w:spacing w:before="82" w:line="219" w:lineRule="auto"/>
              <w:rPr/>
            </w:pPr>
            <w:r>
              <w:rPr>
                <w:spacing w:val="1"/>
              </w:rPr>
              <w:t>建筑物面向道路有公共出入口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85"/>
              <w:spacing w:before="98" w:line="230" w:lineRule="auto"/>
              <w:rPr/>
            </w:pPr>
            <w:r>
              <w:rPr>
                <w:spacing w:val="-3"/>
              </w:rPr>
              <w:t>5.0</w:t>
            </w:r>
          </w:p>
        </w:tc>
        <w:tc>
          <w:tcPr>
            <w:tcW w:w="1582" w:type="dxa"/>
            <w:vAlign w:val="top"/>
          </w:tcPr>
          <w:p>
            <w:pPr>
              <w:pStyle w:val="TableText"/>
              <w:ind w:left="667"/>
              <w:spacing w:before="98" w:line="230" w:lineRule="auto"/>
              <w:rPr/>
            </w:pPr>
            <w:r>
              <w:rPr>
                <w:spacing w:val="-2"/>
              </w:rPr>
              <w:t>2.5</w:t>
            </w:r>
          </w:p>
        </w:tc>
      </w:tr>
      <w:tr>
        <w:trPr>
          <w:trHeight w:val="312" w:hRule="atLeast"/>
        </w:trPr>
        <w:tc>
          <w:tcPr>
            <w:tcW w:w="2870" w:type="dxa"/>
            <w:vAlign w:val="top"/>
          </w:tcPr>
          <w:p>
            <w:pPr>
              <w:pStyle w:val="TableText"/>
              <w:ind w:left="704"/>
              <w:spacing w:before="84" w:line="219" w:lineRule="auto"/>
              <w:rPr/>
            </w:pPr>
            <w:r>
              <w:rPr>
                <w:spacing w:val="-1"/>
              </w:rPr>
              <w:t>建筑物山墙面向道路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85"/>
              <w:spacing w:before="100" w:line="232" w:lineRule="auto"/>
              <w:rPr/>
            </w:pPr>
            <w:r>
              <w:rPr>
                <w:spacing w:val="-2"/>
              </w:rPr>
              <w:t>2.0</w:t>
            </w:r>
          </w:p>
        </w:tc>
        <w:tc>
          <w:tcPr>
            <w:tcW w:w="1582" w:type="dxa"/>
            <w:vAlign w:val="top"/>
          </w:tcPr>
          <w:p>
            <w:pPr>
              <w:pStyle w:val="TableText"/>
              <w:ind w:left="667"/>
              <w:spacing w:before="100" w:line="232" w:lineRule="auto"/>
              <w:rPr/>
            </w:pPr>
            <w:r>
              <w:rPr>
                <w:spacing w:val="-5"/>
              </w:rPr>
              <w:t>1.5</w:t>
            </w:r>
          </w:p>
        </w:tc>
      </w:tr>
    </w:tbl>
    <w:p>
      <w:pPr>
        <w:pStyle w:val="BodyText"/>
        <w:ind w:left="190"/>
        <w:spacing w:before="101" w:line="219" w:lineRule="auto"/>
        <w:rPr>
          <w:sz w:val="16"/>
          <w:szCs w:val="16"/>
        </w:rPr>
      </w:pPr>
      <w:r>
        <w:rPr>
          <w:sz w:val="16"/>
          <w:szCs w:val="16"/>
          <w:spacing w:val="-4"/>
        </w:rPr>
        <w:t>注：1  城镇道路的边缘是指道路红线：</w:t>
      </w:r>
    </w:p>
    <w:p>
      <w:pPr>
        <w:pStyle w:val="BodyText"/>
        <w:ind w:left="490"/>
        <w:spacing w:before="39" w:line="219" w:lineRule="auto"/>
        <w:rPr>
          <w:sz w:val="16"/>
          <w:szCs w:val="16"/>
        </w:rPr>
      </w:pPr>
      <w:r>
        <w:rPr>
          <w:sz w:val="16"/>
          <w:szCs w:val="16"/>
          <w:spacing w:val="-3"/>
        </w:rPr>
        <w:t>2  附属道路的边缘是指路面边线。</w:t>
      </w:r>
    </w:p>
    <w:p>
      <w:pPr>
        <w:pStyle w:val="BodyText"/>
        <w:ind w:right="41" w:firstLine="3"/>
        <w:spacing w:before="184" w:line="283" w:lineRule="auto"/>
        <w:rPr/>
      </w:pPr>
      <w:r>
        <w:rPr>
          <w:b/>
          <w:bCs/>
          <w:spacing w:val="2"/>
        </w:rPr>
        <w:t>3.2.7</w:t>
      </w:r>
      <w:r>
        <w:rPr>
          <w:spacing w:val="2"/>
        </w:rPr>
        <w:t xml:space="preserve">  住宅项目室外公共区域夜间照明照度值和一般显色指数</w:t>
      </w:r>
      <w:r>
        <w:rPr>
          <w:spacing w:val="7"/>
        </w:rPr>
        <w:t xml:space="preserve"> </w:t>
      </w:r>
      <w:r>
        <w:rPr>
          <w:spacing w:val="3"/>
        </w:rPr>
        <w:t>不应低于表3.2.7规定的限值。</w:t>
      </w:r>
    </w:p>
    <w:p>
      <w:pPr>
        <w:ind w:left="192"/>
        <w:spacing w:before="40" w:line="221" w:lineRule="auto"/>
        <w:rPr>
          <w:rFonts w:ascii="SimHei" w:hAnsi="SimHei" w:eastAsia="SimHei" w:cs="SimHei"/>
          <w:sz w:val="21"/>
          <w:szCs w:val="21"/>
        </w:rPr>
      </w:pPr>
      <w:r>
        <w:rPr>
          <w:rFonts w:ascii="SimHei" w:hAnsi="SimHei" w:eastAsia="SimHei" w:cs="SimHei"/>
          <w:sz w:val="21"/>
          <w:szCs w:val="21"/>
          <w:b/>
          <w:bCs/>
          <w:spacing w:val="-20"/>
          <w:w w:val="96"/>
        </w:rPr>
        <w:t>表3.2.7</w:t>
      </w:r>
      <w:r>
        <w:rPr>
          <w:rFonts w:ascii="SimHei" w:hAnsi="SimHei" w:eastAsia="SimHei" w:cs="SimHei"/>
          <w:sz w:val="21"/>
          <w:szCs w:val="21"/>
          <w:spacing w:val="78"/>
        </w:rPr>
        <w:t xml:space="preserve"> </w:t>
      </w:r>
      <w:r>
        <w:rPr>
          <w:rFonts w:ascii="SimHei" w:hAnsi="SimHei" w:eastAsia="SimHei" w:cs="SimHei"/>
          <w:sz w:val="21"/>
          <w:szCs w:val="21"/>
          <w:b/>
          <w:bCs/>
          <w:spacing w:val="-20"/>
          <w:w w:val="96"/>
        </w:rPr>
        <w:t>住宅项目室外公共区域夜间照明照度值和一般显色指数限值</w:t>
      </w:r>
    </w:p>
    <w:p>
      <w:pPr>
        <w:spacing w:line="50" w:lineRule="exact"/>
        <w:rPr/>
      </w:pPr>
      <w:r/>
    </w:p>
    <w:tbl>
      <w:tblPr>
        <w:tblStyle w:val="TableNormal"/>
        <w:tblW w:w="5880" w:type="dxa"/>
        <w:tblInd w:w="1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324"/>
        <w:gridCol w:w="1108"/>
        <w:gridCol w:w="1128"/>
        <w:gridCol w:w="849"/>
        <w:gridCol w:w="888"/>
        <w:gridCol w:w="869"/>
        <w:gridCol w:w="714"/>
      </w:tblGrid>
      <w:tr>
        <w:trPr>
          <w:trHeight w:val="632" w:hRule="atLeast"/>
        </w:trPr>
        <w:tc>
          <w:tcPr>
            <w:tcW w:w="1432" w:type="dxa"/>
            <w:vAlign w:val="top"/>
            <w:gridSpan w:val="2"/>
          </w:tcPr>
          <w:p>
            <w:pPr>
              <w:pStyle w:val="TableText"/>
              <w:ind w:left="545"/>
              <w:spacing w:before="242" w:line="220" w:lineRule="auto"/>
              <w:rPr/>
            </w:pPr>
            <w:r>
              <w:rPr>
                <w:spacing w:val="-2"/>
              </w:rPr>
              <w:t>场所</w:t>
            </w:r>
          </w:p>
        </w:tc>
        <w:tc>
          <w:tcPr>
            <w:tcW w:w="1128" w:type="dxa"/>
            <w:vAlign w:val="top"/>
          </w:tcPr>
          <w:p>
            <w:pPr>
              <w:pStyle w:val="TableText"/>
              <w:ind w:left="232" w:right="90" w:hanging="159"/>
              <w:spacing w:before="110" w:line="295" w:lineRule="auto"/>
              <w:rPr/>
            </w:pPr>
            <w:r>
              <w:rPr>
                <w:spacing w:val="-1"/>
              </w:rPr>
              <w:t>平均水平照度</w:t>
            </w:r>
            <w:r>
              <w:rPr/>
              <w:t xml:space="preserve"> </w:t>
            </w:r>
            <w:r>
              <w:rPr>
                <w:spacing w:val="-1"/>
              </w:rPr>
              <w:t>Eh+a(lx)</w:t>
            </w:r>
          </w:p>
        </w:tc>
        <w:tc>
          <w:tcPr>
            <w:tcW w:w="849" w:type="dxa"/>
            <w:vAlign w:val="top"/>
          </w:tcPr>
          <w:p>
            <w:pPr>
              <w:pStyle w:val="TableText"/>
              <w:ind w:left="55" w:right="68" w:firstLine="40"/>
              <w:spacing w:before="110" w:line="295" w:lineRule="auto"/>
              <w:rPr/>
            </w:pPr>
            <w:r>
              <w:rPr>
                <w:spacing w:val="-3"/>
              </w:rPr>
              <w:t>水平照度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Ehmin(lx)</w:t>
            </w:r>
          </w:p>
        </w:tc>
        <w:tc>
          <w:tcPr>
            <w:tcW w:w="888" w:type="dxa"/>
            <w:vAlign w:val="top"/>
          </w:tcPr>
          <w:p>
            <w:pPr>
              <w:pStyle w:val="TableText"/>
              <w:ind w:left="36" w:right="46" w:firstLine="80"/>
              <w:spacing w:before="112" w:line="294" w:lineRule="auto"/>
              <w:rPr/>
            </w:pPr>
            <w:r>
              <w:rPr>
                <w:spacing w:val="-2"/>
              </w:rPr>
              <w:t>垂直照度</w:t>
            </w:r>
            <w:r>
              <w:rPr/>
              <w:t xml:space="preserve">  </w:t>
            </w:r>
            <w:r>
              <w:rPr>
                <w:spacing w:val="-1"/>
              </w:rPr>
              <w:t>Ev.min(lx)</w:t>
            </w:r>
          </w:p>
        </w:tc>
        <w:tc>
          <w:tcPr>
            <w:tcW w:w="869" w:type="dxa"/>
            <w:vAlign w:val="top"/>
          </w:tcPr>
          <w:p>
            <w:pPr>
              <w:pStyle w:val="TableText"/>
              <w:ind w:left="27" w:right="35"/>
              <w:spacing w:before="112" w:line="294" w:lineRule="auto"/>
              <w:rPr/>
            </w:pPr>
            <w:r>
              <w:rPr>
                <w:spacing w:val="-2"/>
              </w:rPr>
              <w:t>半柱面照度</w:t>
            </w:r>
            <w:r>
              <w:rPr/>
              <w:t xml:space="preserve"> </w:t>
            </w:r>
            <w:r>
              <w:rPr>
                <w:spacing w:val="-1"/>
              </w:rPr>
              <w:t>Escmin(lx)</w:t>
            </w:r>
          </w:p>
        </w:tc>
        <w:tc>
          <w:tcPr>
            <w:tcW w:w="714" w:type="dxa"/>
            <w:vAlign w:val="top"/>
          </w:tcPr>
          <w:p>
            <w:pPr>
              <w:pStyle w:val="TableText"/>
              <w:ind w:left="28"/>
              <w:spacing w:before="112" w:line="221" w:lineRule="auto"/>
              <w:rPr/>
            </w:pPr>
            <w:r>
              <w:rPr>
                <w:spacing w:val="-3"/>
              </w:rPr>
              <w:t>一般显色</w:t>
            </w:r>
          </w:p>
          <w:p>
            <w:pPr>
              <w:pStyle w:val="TableText"/>
              <w:ind w:left="109"/>
              <w:spacing w:before="77" w:line="219" w:lineRule="auto"/>
              <w:rPr/>
            </w:pPr>
            <w:r>
              <w:rPr>
                <w:spacing w:val="-2"/>
              </w:rPr>
              <w:t>指数Ra</w:t>
            </w:r>
          </w:p>
        </w:tc>
      </w:tr>
      <w:tr>
        <w:trPr>
          <w:trHeight w:val="299" w:hRule="atLeast"/>
        </w:trPr>
        <w:tc>
          <w:tcPr>
            <w:tcW w:w="324" w:type="dxa"/>
            <w:vAlign w:val="top"/>
            <w:vMerge w:val="restart"/>
            <w:textDirection w:val="tbRlV"/>
            <w:tcBorders>
              <w:bottom w:val="nil"/>
            </w:tcBorders>
          </w:tcPr>
          <w:p>
            <w:pPr>
              <w:pStyle w:val="TableText"/>
              <w:ind w:left="225"/>
              <w:spacing w:before="144" w:line="202" w:lineRule="auto"/>
              <w:rPr/>
            </w:pPr>
            <w:r>
              <w:rPr/>
              <w:t>道</w:t>
            </w:r>
            <w:r>
              <w:rPr>
                <w:spacing w:val="70"/>
              </w:rPr>
              <w:t xml:space="preserve"> </w:t>
            </w:r>
            <w:r>
              <w:rPr/>
              <w:t>路</w:t>
            </w:r>
          </w:p>
        </w:tc>
        <w:tc>
          <w:tcPr>
            <w:tcW w:w="1108" w:type="dxa"/>
            <w:vAlign w:val="top"/>
          </w:tcPr>
          <w:p>
            <w:pPr>
              <w:pStyle w:val="TableText"/>
              <w:ind w:left="61"/>
              <w:spacing w:before="68" w:line="219" w:lineRule="auto"/>
              <w:rPr/>
            </w:pPr>
            <w:r>
              <w:rPr>
                <w:spacing w:val="-2"/>
              </w:rPr>
              <w:t>主要附属道路</w:t>
            </w:r>
          </w:p>
        </w:tc>
        <w:tc>
          <w:tcPr>
            <w:tcW w:w="1128" w:type="dxa"/>
            <w:vAlign w:val="top"/>
          </w:tcPr>
          <w:p>
            <w:pPr>
              <w:pStyle w:val="TableText"/>
              <w:ind w:left="473"/>
              <w:spacing w:before="85" w:line="235" w:lineRule="auto"/>
              <w:rPr/>
            </w:pPr>
            <w:r>
              <w:rPr>
                <w:spacing w:val="-5"/>
              </w:rPr>
              <w:t>15</w:t>
            </w:r>
          </w:p>
        </w:tc>
        <w:tc>
          <w:tcPr>
            <w:tcW w:w="849" w:type="dxa"/>
            <w:vAlign w:val="top"/>
          </w:tcPr>
          <w:p>
            <w:pPr>
              <w:pStyle w:val="TableText"/>
              <w:ind w:left="375"/>
              <w:spacing w:before="85" w:line="235" w:lineRule="auto"/>
              <w:rPr/>
            </w:pPr>
            <w:r>
              <w:rPr/>
              <w:t>3</w:t>
            </w:r>
          </w:p>
        </w:tc>
        <w:tc>
          <w:tcPr>
            <w:tcW w:w="888" w:type="dxa"/>
            <w:vAlign w:val="top"/>
          </w:tcPr>
          <w:p>
            <w:pPr>
              <w:pStyle w:val="TableText"/>
              <w:ind w:left="396"/>
              <w:spacing w:before="85" w:line="235" w:lineRule="auto"/>
              <w:rPr/>
            </w:pPr>
            <w:r>
              <w:rPr/>
              <w:t>5</w:t>
            </w:r>
          </w:p>
        </w:tc>
        <w:tc>
          <w:tcPr>
            <w:tcW w:w="869" w:type="dxa"/>
            <w:vAlign w:val="top"/>
          </w:tcPr>
          <w:p>
            <w:pPr>
              <w:pStyle w:val="TableText"/>
              <w:ind w:left="387"/>
              <w:spacing w:before="85" w:line="235" w:lineRule="auto"/>
              <w:rPr/>
            </w:pPr>
            <w:r>
              <w:rPr/>
              <w:t>3</w:t>
            </w:r>
          </w:p>
        </w:tc>
        <w:tc>
          <w:tcPr>
            <w:tcW w:w="714" w:type="dxa"/>
            <w:vAlign w:val="top"/>
          </w:tcPr>
          <w:p>
            <w:pPr>
              <w:pStyle w:val="TableText"/>
              <w:ind w:left="269"/>
              <w:spacing w:before="85" w:line="235" w:lineRule="auto"/>
              <w:rPr/>
            </w:pPr>
            <w:r>
              <w:rPr>
                <w:spacing w:val="-2"/>
              </w:rPr>
              <w:t>60</w:t>
            </w:r>
          </w:p>
        </w:tc>
      </w:tr>
      <w:tr>
        <w:trPr>
          <w:trHeight w:val="308" w:hRule="atLeast"/>
        </w:trPr>
        <w:tc>
          <w:tcPr>
            <w:tcW w:w="324" w:type="dxa"/>
            <w:vAlign w:val="top"/>
            <w:vMerge w:val="continue"/>
            <w:textDirection w:val="tbRlV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8" w:type="dxa"/>
            <w:vAlign w:val="top"/>
          </w:tcPr>
          <w:p>
            <w:pPr>
              <w:pStyle w:val="TableText"/>
              <w:ind w:left="61"/>
              <w:spacing w:before="79" w:line="219" w:lineRule="auto"/>
              <w:rPr/>
            </w:pPr>
            <w:r>
              <w:rPr>
                <w:spacing w:val="-1"/>
              </w:rPr>
              <w:t>其他附属道路</w:t>
            </w:r>
          </w:p>
        </w:tc>
        <w:tc>
          <w:tcPr>
            <w:tcW w:w="1128" w:type="dxa"/>
            <w:vAlign w:val="top"/>
          </w:tcPr>
          <w:p>
            <w:pPr>
              <w:pStyle w:val="TableText"/>
              <w:ind w:left="473"/>
              <w:spacing w:before="96" w:line="232" w:lineRule="auto"/>
              <w:rPr/>
            </w:pPr>
            <w:r>
              <w:rPr>
                <w:spacing w:val="-5"/>
              </w:rPr>
              <w:t>10</w:t>
            </w:r>
          </w:p>
        </w:tc>
        <w:tc>
          <w:tcPr>
            <w:tcW w:w="849" w:type="dxa"/>
            <w:vAlign w:val="top"/>
          </w:tcPr>
          <w:p>
            <w:pPr>
              <w:pStyle w:val="TableText"/>
              <w:ind w:left="375"/>
              <w:spacing w:before="96" w:line="232" w:lineRule="auto"/>
              <w:rPr/>
            </w:pPr>
            <w:r>
              <w:rPr/>
              <w:t>2</w:t>
            </w:r>
          </w:p>
        </w:tc>
        <w:tc>
          <w:tcPr>
            <w:tcW w:w="888" w:type="dxa"/>
            <w:vAlign w:val="top"/>
          </w:tcPr>
          <w:p>
            <w:pPr>
              <w:pStyle w:val="TableText"/>
              <w:ind w:left="396"/>
              <w:spacing w:before="96" w:line="232" w:lineRule="auto"/>
              <w:rPr/>
            </w:pPr>
            <w:r>
              <w:rPr/>
              <w:t>3</w:t>
            </w:r>
          </w:p>
        </w:tc>
        <w:tc>
          <w:tcPr>
            <w:tcW w:w="869" w:type="dxa"/>
            <w:vAlign w:val="top"/>
          </w:tcPr>
          <w:p>
            <w:pPr>
              <w:pStyle w:val="TableText"/>
              <w:ind w:left="387"/>
              <w:spacing w:before="96" w:line="232" w:lineRule="auto"/>
              <w:rPr/>
            </w:pPr>
            <w:r>
              <w:rPr/>
              <w:t>2</w:t>
            </w:r>
          </w:p>
        </w:tc>
        <w:tc>
          <w:tcPr>
            <w:tcW w:w="714" w:type="dxa"/>
            <w:vAlign w:val="top"/>
          </w:tcPr>
          <w:p>
            <w:pPr>
              <w:pStyle w:val="TableText"/>
              <w:ind w:left="269"/>
              <w:spacing w:before="96" w:line="232" w:lineRule="auto"/>
              <w:rPr/>
            </w:pPr>
            <w:r>
              <w:rPr>
                <w:spacing w:val="-2"/>
              </w:rPr>
              <w:t>60</w:t>
            </w:r>
          </w:p>
        </w:tc>
      </w:tr>
      <w:tr>
        <w:trPr>
          <w:trHeight w:val="308" w:hRule="atLeast"/>
        </w:trPr>
        <w:tc>
          <w:tcPr>
            <w:tcW w:w="324" w:type="dxa"/>
            <w:vAlign w:val="top"/>
            <w:vMerge w:val="continue"/>
            <w:textDirection w:val="tbRlV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8" w:type="dxa"/>
            <w:vAlign w:val="top"/>
          </w:tcPr>
          <w:p>
            <w:pPr>
              <w:pStyle w:val="TableText"/>
              <w:ind w:left="221"/>
              <w:spacing w:before="82" w:line="219" w:lineRule="auto"/>
              <w:rPr/>
            </w:pPr>
            <w:r>
              <w:rPr>
                <w:spacing w:val="-2"/>
              </w:rPr>
              <w:t>健身步道</w:t>
            </w:r>
          </w:p>
        </w:tc>
        <w:tc>
          <w:tcPr>
            <w:tcW w:w="1128" w:type="dxa"/>
            <w:vAlign w:val="top"/>
          </w:tcPr>
          <w:p>
            <w:pPr>
              <w:pStyle w:val="TableText"/>
              <w:ind w:left="473"/>
              <w:spacing w:before="98" w:line="230" w:lineRule="auto"/>
              <w:rPr/>
            </w:pPr>
            <w:r>
              <w:rPr>
                <w:spacing w:val="-3"/>
              </w:rPr>
              <w:t>20</w:t>
            </w:r>
          </w:p>
        </w:tc>
        <w:tc>
          <w:tcPr>
            <w:tcW w:w="849" w:type="dxa"/>
            <w:vAlign w:val="top"/>
          </w:tcPr>
          <w:p>
            <w:pPr>
              <w:pStyle w:val="TableText"/>
              <w:ind w:left="375"/>
              <w:spacing w:before="98" w:line="230" w:lineRule="auto"/>
              <w:rPr/>
            </w:pPr>
            <w:r>
              <w:rPr/>
              <w:t>5</w:t>
            </w:r>
          </w:p>
        </w:tc>
        <w:tc>
          <w:tcPr>
            <w:tcW w:w="888" w:type="dxa"/>
            <w:vAlign w:val="top"/>
          </w:tcPr>
          <w:p>
            <w:pPr>
              <w:pStyle w:val="TableText"/>
              <w:ind w:left="355"/>
              <w:spacing w:before="98" w:line="230" w:lineRule="auto"/>
              <w:rPr/>
            </w:pPr>
            <w:r>
              <w:rPr>
                <w:spacing w:val="-5"/>
              </w:rPr>
              <w:t>10</w:t>
            </w:r>
          </w:p>
        </w:tc>
        <w:tc>
          <w:tcPr>
            <w:tcW w:w="869" w:type="dxa"/>
            <w:vAlign w:val="top"/>
          </w:tcPr>
          <w:p>
            <w:pPr>
              <w:pStyle w:val="TableText"/>
              <w:ind w:left="387"/>
              <w:spacing w:before="98" w:line="230" w:lineRule="auto"/>
              <w:rPr/>
            </w:pPr>
            <w:r>
              <w:rPr/>
              <w:t>5</w:t>
            </w:r>
          </w:p>
        </w:tc>
        <w:tc>
          <w:tcPr>
            <w:tcW w:w="714" w:type="dxa"/>
            <w:vAlign w:val="top"/>
          </w:tcPr>
          <w:p>
            <w:pPr>
              <w:pStyle w:val="TableText"/>
              <w:ind w:left="269"/>
              <w:spacing w:before="98" w:line="230" w:lineRule="auto"/>
              <w:rPr/>
            </w:pPr>
            <w:r>
              <w:rPr>
                <w:spacing w:val="-2"/>
              </w:rPr>
              <w:t>60</w:t>
            </w:r>
          </w:p>
        </w:tc>
      </w:tr>
      <w:tr>
        <w:trPr>
          <w:trHeight w:val="303" w:hRule="atLeast"/>
        </w:trPr>
        <w:tc>
          <w:tcPr>
            <w:tcW w:w="1432" w:type="dxa"/>
            <w:vAlign w:val="top"/>
            <w:gridSpan w:val="2"/>
          </w:tcPr>
          <w:p>
            <w:pPr>
              <w:pStyle w:val="TableText"/>
              <w:ind w:left="385"/>
              <w:spacing w:before="75" w:line="220" w:lineRule="auto"/>
              <w:rPr/>
            </w:pPr>
            <w:r>
              <w:rPr>
                <w:spacing w:val="-2"/>
              </w:rPr>
              <w:t>活动场地</w:t>
            </w:r>
          </w:p>
        </w:tc>
        <w:tc>
          <w:tcPr>
            <w:tcW w:w="1128" w:type="dxa"/>
            <w:vAlign w:val="top"/>
          </w:tcPr>
          <w:p>
            <w:pPr>
              <w:pStyle w:val="TableText"/>
              <w:ind w:left="473"/>
              <w:spacing w:before="90" w:line="234" w:lineRule="auto"/>
              <w:rPr/>
            </w:pPr>
            <w:r>
              <w:rPr>
                <w:spacing w:val="-3"/>
              </w:rPr>
              <w:t>30</w:t>
            </w:r>
          </w:p>
        </w:tc>
        <w:tc>
          <w:tcPr>
            <w:tcW w:w="849" w:type="dxa"/>
            <w:vAlign w:val="top"/>
          </w:tcPr>
          <w:p>
            <w:pPr>
              <w:pStyle w:val="TableText"/>
              <w:ind w:left="335"/>
              <w:spacing w:before="90" w:line="234" w:lineRule="auto"/>
              <w:rPr/>
            </w:pPr>
            <w:r>
              <w:rPr>
                <w:spacing w:val="-5"/>
              </w:rPr>
              <w:t>10</w:t>
            </w:r>
          </w:p>
        </w:tc>
        <w:tc>
          <w:tcPr>
            <w:tcW w:w="888" w:type="dxa"/>
            <w:vAlign w:val="top"/>
          </w:tcPr>
          <w:p>
            <w:pPr>
              <w:pStyle w:val="TableText"/>
              <w:ind w:left="355"/>
              <w:spacing w:before="90" w:line="234" w:lineRule="auto"/>
              <w:rPr/>
            </w:pPr>
            <w:r>
              <w:rPr>
                <w:spacing w:val="-5"/>
              </w:rPr>
              <w:t>10</w:t>
            </w:r>
          </w:p>
        </w:tc>
        <w:tc>
          <w:tcPr>
            <w:tcW w:w="869" w:type="dxa"/>
            <w:vAlign w:val="top"/>
          </w:tcPr>
          <w:p>
            <w:pPr>
              <w:pStyle w:val="TableText"/>
              <w:ind w:left="387"/>
              <w:spacing w:before="90" w:line="234" w:lineRule="auto"/>
              <w:rPr/>
            </w:pPr>
            <w:r>
              <w:rPr/>
              <w:t>5</w:t>
            </w:r>
          </w:p>
        </w:tc>
        <w:tc>
          <w:tcPr>
            <w:tcW w:w="714" w:type="dxa"/>
            <w:vAlign w:val="top"/>
          </w:tcPr>
          <w:p>
            <w:pPr>
              <w:pStyle w:val="TableText"/>
              <w:ind w:left="269"/>
              <w:spacing w:before="90" w:line="234" w:lineRule="auto"/>
              <w:rPr/>
            </w:pPr>
            <w:r>
              <w:rPr>
                <w:spacing w:val="-2"/>
              </w:rPr>
              <w:t>60</w:t>
            </w:r>
          </w:p>
        </w:tc>
      </w:tr>
    </w:tbl>
    <w:p>
      <w:pPr>
        <w:pStyle w:val="BodyText"/>
        <w:ind w:left="510" w:right="41" w:hanging="320"/>
        <w:spacing w:before="111" w:line="293" w:lineRule="auto"/>
        <w:rPr>
          <w:sz w:val="16"/>
          <w:szCs w:val="16"/>
        </w:rPr>
      </w:pPr>
      <w:r>
        <w:rPr>
          <w:sz w:val="16"/>
          <w:szCs w:val="16"/>
          <w:spacing w:val="2"/>
        </w:rPr>
        <w:t>注：水平照度的参考平面为地面，垂直照度和半柱面照度的计算点或测量点</w:t>
      </w:r>
      <w:r>
        <w:rPr>
          <w:sz w:val="16"/>
          <w:szCs w:val="16"/>
          <w:spacing w:val="1"/>
        </w:rPr>
        <w:t>高度</w:t>
      </w:r>
      <w:r>
        <w:rPr>
          <w:sz w:val="16"/>
          <w:szCs w:val="16"/>
        </w:rPr>
        <w:t xml:space="preserve"> </w:t>
      </w:r>
      <w:r>
        <w:rPr>
          <w:sz w:val="16"/>
          <w:szCs w:val="16"/>
          <w:spacing w:val="3"/>
        </w:rPr>
        <w:t>为1.5</w:t>
      </w:r>
      <w:r>
        <w:rPr>
          <w:rFonts w:ascii="Times New Roman" w:hAnsi="Times New Roman" w:eastAsia="Times New Roman" w:cs="Times New Roman"/>
          <w:sz w:val="16"/>
          <w:szCs w:val="16"/>
          <w:spacing w:val="3"/>
        </w:rPr>
        <w:t>m</w:t>
      </w:r>
      <w:r>
        <w:rPr>
          <w:sz w:val="16"/>
          <w:szCs w:val="16"/>
          <w:spacing w:val="3"/>
        </w:rPr>
        <w:t>。</w:t>
      </w:r>
    </w:p>
    <w:p>
      <w:pPr>
        <w:pStyle w:val="BodyText"/>
        <w:ind w:left="2113"/>
        <w:spacing w:before="253" w:line="220" w:lineRule="auto"/>
        <w:outlineLvl w:val="1"/>
        <w:rPr/>
      </w:pPr>
      <w:bookmarkStart w:name="bookmark10" w:id="15"/>
      <w:bookmarkEnd w:id="15"/>
      <w:r>
        <w:rPr>
          <w:b/>
          <w:bCs/>
          <w:spacing w:val="-7"/>
        </w:rPr>
        <w:t>3.3</w:t>
      </w:r>
      <w:r>
        <w:rPr>
          <w:spacing w:val="11"/>
        </w:rPr>
        <w:t xml:space="preserve">  </w:t>
      </w:r>
      <w:r>
        <w:rPr>
          <w:b/>
          <w:bCs/>
          <w:spacing w:val="-7"/>
        </w:rPr>
        <w:t>配</w:t>
      </w:r>
      <w:r>
        <w:rPr>
          <w:spacing w:val="8"/>
        </w:rPr>
        <w:t xml:space="preserve"> </w:t>
      </w:r>
      <w:r>
        <w:rPr>
          <w:b/>
          <w:bCs/>
          <w:spacing w:val="-7"/>
        </w:rPr>
        <w:t>套</w:t>
      </w:r>
      <w:r>
        <w:rPr>
          <w:spacing w:val="10"/>
        </w:rPr>
        <w:t xml:space="preserve"> </w:t>
      </w:r>
      <w:r>
        <w:rPr>
          <w:b/>
          <w:bCs/>
          <w:spacing w:val="-7"/>
        </w:rPr>
        <w:t>设</w:t>
      </w:r>
      <w:r>
        <w:rPr>
          <w:spacing w:val="-7"/>
        </w:rPr>
        <w:t xml:space="preserve"> </w:t>
      </w:r>
      <w:r>
        <w:rPr>
          <w:b/>
          <w:bCs/>
          <w:spacing w:val="-7"/>
        </w:rPr>
        <w:t>施</w:t>
      </w:r>
    </w:p>
    <w:p>
      <w:pPr>
        <w:pStyle w:val="BodyText"/>
        <w:ind w:firstLine="3"/>
        <w:spacing w:before="232" w:line="250" w:lineRule="auto"/>
        <w:rPr/>
      </w:pPr>
      <w:r>
        <w:rPr>
          <w:b/>
          <w:bCs/>
          <w:spacing w:val="-3"/>
        </w:rPr>
        <w:t>3.3.1</w:t>
      </w:r>
      <w:r>
        <w:rPr>
          <w:spacing w:val="-3"/>
        </w:rPr>
        <w:t xml:space="preserve">  住宅项目的配套设施应根据居住人口规模和设施</w:t>
      </w:r>
      <w:r>
        <w:rPr>
          <w:spacing w:val="-4"/>
        </w:rPr>
        <w:t>服务半径</w:t>
      </w:r>
      <w:r>
        <w:rPr/>
        <w:t xml:space="preserve"> </w:t>
      </w:r>
      <w:r>
        <w:rPr>
          <w:spacing w:val="-12"/>
        </w:rPr>
        <w:t>综合确定，并应按所在居住区分级配置标准统筹配套</w:t>
      </w:r>
      <w:r>
        <w:rPr>
          <w:spacing w:val="-13"/>
        </w:rPr>
        <w:t>、同步建设。</w:t>
      </w:r>
    </w:p>
    <w:p>
      <w:pPr>
        <w:pStyle w:val="BodyText"/>
        <w:ind w:left="3"/>
        <w:spacing w:before="71" w:line="219" w:lineRule="auto"/>
        <w:rPr/>
      </w:pPr>
      <w:r>
        <w:rPr>
          <w:b/>
          <w:bCs/>
          <w:spacing w:val="-2"/>
        </w:rPr>
        <w:t>3.3.2</w:t>
      </w:r>
      <w:r>
        <w:rPr>
          <w:spacing w:val="-2"/>
        </w:rPr>
        <w:t xml:space="preserve">  住宅项目应设生活垃圾收集点，并应符合下</w:t>
      </w:r>
      <w:r>
        <w:rPr>
          <w:spacing w:val="-3"/>
        </w:rPr>
        <w:t>列规定：</w:t>
      </w:r>
    </w:p>
    <w:p>
      <w:pPr>
        <w:pStyle w:val="BodyText"/>
        <w:ind w:left="423"/>
        <w:spacing w:before="51" w:line="219" w:lineRule="auto"/>
        <w:rPr/>
      </w:pPr>
      <w:r>
        <w:rPr>
          <w:b/>
          <w:bCs/>
          <w:spacing w:val="-7"/>
        </w:rPr>
        <w:t>1</w:t>
      </w:r>
      <w:r>
        <w:rPr>
          <w:spacing w:val="18"/>
        </w:rPr>
        <w:t xml:space="preserve">  </w:t>
      </w:r>
      <w:r>
        <w:rPr>
          <w:spacing w:val="-7"/>
        </w:rPr>
        <w:t>应满足垃圾分类收集需求；</w:t>
      </w:r>
    </w:p>
    <w:p>
      <w:pPr>
        <w:pStyle w:val="BodyText"/>
        <w:ind w:left="423"/>
        <w:spacing w:before="51" w:line="219" w:lineRule="auto"/>
        <w:rPr/>
      </w:pPr>
      <w:r>
        <w:rPr>
          <w:b/>
          <w:bCs/>
          <w:spacing w:val="-3"/>
        </w:rPr>
        <w:t>2</w:t>
      </w:r>
      <w:r>
        <w:rPr>
          <w:spacing w:val="97"/>
        </w:rPr>
        <w:t xml:space="preserve"> </w:t>
      </w:r>
      <w:r>
        <w:rPr>
          <w:spacing w:val="-3"/>
        </w:rPr>
        <w:t>应设置便于识别的标志；</w:t>
      </w:r>
    </w:p>
    <w:p>
      <w:pPr>
        <w:pStyle w:val="BodyText"/>
        <w:ind w:left="423"/>
        <w:spacing w:before="51" w:line="219" w:lineRule="auto"/>
        <w:rPr/>
      </w:pPr>
      <w:r>
        <w:rPr>
          <w:b/>
          <w:bCs/>
          <w:spacing w:val="-3"/>
        </w:rPr>
        <w:t>3</w:t>
      </w:r>
      <w:r>
        <w:rPr>
          <w:spacing w:val="-3"/>
        </w:rPr>
        <w:t xml:space="preserve">  厨余垃圾收集容器应具备封闭功能。</w:t>
      </w:r>
    </w:p>
    <w:p>
      <w:pPr>
        <w:pStyle w:val="BodyText"/>
        <w:ind w:left="3"/>
        <w:spacing w:before="71" w:line="219" w:lineRule="auto"/>
        <w:rPr/>
      </w:pPr>
      <w:r>
        <w:rPr>
          <w:b/>
          <w:bCs/>
          <w:spacing w:val="6"/>
        </w:rPr>
        <w:t>3.3.3</w:t>
      </w:r>
      <w:r>
        <w:rPr>
          <w:spacing w:val="109"/>
        </w:rPr>
        <w:t xml:space="preserve"> </w:t>
      </w:r>
      <w:r>
        <w:rPr>
          <w:spacing w:val="6"/>
        </w:rPr>
        <w:t>住宅项目应设快递箱(柜)或预留安装条件。</w:t>
      </w:r>
    </w:p>
    <w:p>
      <w:pPr>
        <w:spacing w:line="219" w:lineRule="auto"/>
        <w:sectPr>
          <w:footerReference w:type="default" r:id="rId11"/>
          <w:pgSz w:w="7940" w:h="11500"/>
          <w:pgMar w:top="856" w:right="1019" w:bottom="1011" w:left="1019" w:header="0" w:footer="867" w:gutter="0"/>
        </w:sectPr>
        <w:rPr/>
      </w:pPr>
    </w:p>
    <w:p>
      <w:pPr>
        <w:spacing w:line="288" w:lineRule="auto"/>
        <w:rPr>
          <w:rFonts w:ascii="Arial"/>
          <w:sz w:val="21"/>
        </w:rPr>
      </w:pPr>
      <w:r/>
    </w:p>
    <w:p>
      <w:pPr>
        <w:spacing w:line="288" w:lineRule="auto"/>
        <w:rPr>
          <w:rFonts w:ascii="Arial"/>
          <w:sz w:val="21"/>
        </w:rPr>
      </w:pPr>
      <w:r/>
    </w:p>
    <w:p>
      <w:pPr>
        <w:pStyle w:val="BodyText"/>
        <w:ind w:left="1973"/>
        <w:spacing w:before="91" w:line="220" w:lineRule="auto"/>
        <w:outlineLvl w:val="0"/>
        <w:rPr>
          <w:sz w:val="28"/>
          <w:szCs w:val="28"/>
        </w:rPr>
      </w:pPr>
      <w:bookmarkStart w:name="bookmark11" w:id="16"/>
      <w:bookmarkEnd w:id="16"/>
      <w:r>
        <w:rPr>
          <w:sz w:val="28"/>
          <w:szCs w:val="28"/>
          <w:b/>
          <w:bCs/>
          <w:spacing w:val="-11"/>
        </w:rPr>
        <w:t>4</w:t>
      </w:r>
      <w:r>
        <w:rPr>
          <w:sz w:val="28"/>
          <w:szCs w:val="28"/>
          <w:spacing w:val="-11"/>
        </w:rPr>
        <w:t xml:space="preserve">  </w:t>
      </w:r>
      <w:r>
        <w:rPr>
          <w:sz w:val="28"/>
          <w:szCs w:val="28"/>
          <w:b/>
          <w:bCs/>
          <w:spacing w:val="-11"/>
        </w:rPr>
        <w:t>建</w:t>
      </w:r>
      <w:r>
        <w:rPr>
          <w:sz w:val="28"/>
          <w:szCs w:val="28"/>
          <w:spacing w:val="18"/>
        </w:rPr>
        <w:t xml:space="preserve"> </w:t>
      </w:r>
      <w:r>
        <w:rPr>
          <w:sz w:val="28"/>
          <w:szCs w:val="28"/>
          <w:b/>
          <w:bCs/>
          <w:spacing w:val="-11"/>
        </w:rPr>
        <w:t>筑</w:t>
      </w:r>
      <w:r>
        <w:rPr>
          <w:sz w:val="28"/>
          <w:szCs w:val="28"/>
          <w:spacing w:val="21"/>
        </w:rPr>
        <w:t xml:space="preserve"> </w:t>
      </w:r>
      <w:r>
        <w:rPr>
          <w:sz w:val="28"/>
          <w:szCs w:val="28"/>
          <w:b/>
          <w:bCs/>
          <w:spacing w:val="-11"/>
        </w:rPr>
        <w:t>空</w:t>
      </w:r>
      <w:r>
        <w:rPr>
          <w:sz w:val="28"/>
          <w:szCs w:val="28"/>
          <w:spacing w:val="34"/>
        </w:rPr>
        <w:t xml:space="preserve"> </w:t>
      </w:r>
      <w:r>
        <w:rPr>
          <w:sz w:val="28"/>
          <w:szCs w:val="28"/>
          <w:b/>
          <w:bCs/>
          <w:spacing w:val="-11"/>
        </w:rPr>
        <w:t>间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pStyle w:val="BodyText"/>
        <w:ind w:left="2123"/>
        <w:spacing w:before="69" w:line="222" w:lineRule="auto"/>
        <w:outlineLvl w:val="1"/>
        <w:rPr>
          <w:rFonts w:ascii="SimHei" w:hAnsi="SimHei" w:eastAsia="SimHei" w:cs="SimHei"/>
        </w:rPr>
      </w:pPr>
      <w:bookmarkStart w:name="bookmark12" w:id="17"/>
      <w:bookmarkEnd w:id="17"/>
      <w:r>
        <w:rPr>
          <w:b/>
          <w:bCs/>
          <w:spacing w:val="-8"/>
        </w:rPr>
        <w:t>4.1</w:t>
      </w:r>
      <w:r>
        <w:rPr>
          <w:spacing w:val="-8"/>
        </w:rPr>
        <w:t xml:space="preserve">  </w:t>
      </w:r>
      <w:r>
        <w:rPr>
          <w:rFonts w:ascii="SimHei" w:hAnsi="SimHei" w:eastAsia="SimHei" w:cs="SimHei"/>
          <w:b/>
          <w:bCs/>
          <w:spacing w:val="-8"/>
        </w:rPr>
        <w:t>套</w:t>
      </w:r>
      <w:r>
        <w:rPr>
          <w:rFonts w:ascii="SimHei" w:hAnsi="SimHei" w:eastAsia="SimHei" w:cs="SimHei"/>
          <w:spacing w:val="31"/>
        </w:rPr>
        <w:t xml:space="preserve"> </w:t>
      </w:r>
      <w:r>
        <w:rPr>
          <w:rFonts w:ascii="SimHei" w:hAnsi="SimHei" w:eastAsia="SimHei" w:cs="SimHei"/>
          <w:b/>
          <w:bCs/>
          <w:spacing w:val="-8"/>
        </w:rPr>
        <w:t>内</w:t>
      </w:r>
      <w:r>
        <w:rPr>
          <w:rFonts w:ascii="SimHei" w:hAnsi="SimHei" w:eastAsia="SimHei" w:cs="SimHei"/>
          <w:spacing w:val="15"/>
        </w:rPr>
        <w:t xml:space="preserve"> </w:t>
      </w:r>
      <w:r>
        <w:rPr>
          <w:rFonts w:ascii="SimHei" w:hAnsi="SimHei" w:eastAsia="SimHei" w:cs="SimHei"/>
          <w:b/>
          <w:bCs/>
          <w:spacing w:val="-8"/>
        </w:rPr>
        <w:t>空</w:t>
      </w:r>
      <w:r>
        <w:rPr>
          <w:rFonts w:ascii="SimHei" w:hAnsi="SimHei" w:eastAsia="SimHei" w:cs="SimHei"/>
          <w:spacing w:val="21"/>
        </w:rPr>
        <w:t xml:space="preserve"> </w:t>
      </w:r>
      <w:r>
        <w:rPr>
          <w:rFonts w:ascii="SimHei" w:hAnsi="SimHei" w:eastAsia="SimHei" w:cs="SimHei"/>
          <w:b/>
          <w:bCs/>
          <w:spacing w:val="-8"/>
        </w:rPr>
        <w:t>间</w:t>
      </w:r>
    </w:p>
    <w:p>
      <w:pPr>
        <w:pStyle w:val="BodyText"/>
        <w:ind w:left="3"/>
        <w:spacing w:before="240" w:line="219" w:lineRule="auto"/>
        <w:rPr/>
      </w:pPr>
      <w:r>
        <w:rPr>
          <w:b/>
          <w:bCs/>
          <w:spacing w:val="-4"/>
        </w:rPr>
        <w:t>4.1.1</w:t>
      </w:r>
      <w:r>
        <w:rPr>
          <w:spacing w:val="-4"/>
        </w:rPr>
        <w:t xml:space="preserve">  卧室的使用面积应符合下列规定：</w:t>
      </w:r>
    </w:p>
    <w:p>
      <w:pPr>
        <w:pStyle w:val="BodyText"/>
        <w:ind w:left="413"/>
        <w:spacing w:before="60" w:line="219" w:lineRule="auto"/>
        <w:rPr/>
      </w:pPr>
      <w:r>
        <w:rPr>
          <w:b/>
          <w:bCs/>
          <w:spacing w:val="2"/>
        </w:rPr>
        <w:t>1</w:t>
      </w:r>
      <w:r>
        <w:rPr>
          <w:spacing w:val="2"/>
        </w:rPr>
        <w:t xml:space="preserve">  卧室使用面积不应小于5m²;</w:t>
      </w:r>
    </w:p>
    <w:p>
      <w:pPr>
        <w:pStyle w:val="BodyText"/>
        <w:ind w:left="413"/>
        <w:spacing w:before="70" w:line="219" w:lineRule="auto"/>
        <w:rPr/>
      </w:pPr>
      <w:r>
        <w:rPr>
          <w:b/>
          <w:bCs/>
          <w:spacing w:val="2"/>
        </w:rPr>
        <w:t>2</w:t>
      </w:r>
      <w:r>
        <w:rPr>
          <w:spacing w:val="2"/>
        </w:rPr>
        <w:t xml:space="preserve">  兼起居室的卧室使用面积不应小于9m</w:t>
      </w:r>
      <w:r>
        <w:rPr>
          <w:spacing w:val="1"/>
        </w:rPr>
        <w:t>²;</w:t>
      </w:r>
    </w:p>
    <w:p>
      <w:pPr>
        <w:pStyle w:val="BodyText"/>
        <w:ind w:left="413"/>
        <w:spacing w:before="52" w:line="220" w:lineRule="auto"/>
        <w:rPr/>
      </w:pPr>
      <w:r>
        <w:rPr>
          <w:b/>
          <w:bCs/>
          <w:spacing w:val="1"/>
        </w:rPr>
        <w:t>3</w:t>
      </w:r>
      <w:r>
        <w:rPr>
          <w:spacing w:val="1"/>
        </w:rPr>
        <w:t xml:space="preserve">  卧室短边净宽不应小于1.80m。</w:t>
      </w:r>
    </w:p>
    <w:p>
      <w:pPr>
        <w:pStyle w:val="BodyText"/>
        <w:ind w:left="3"/>
        <w:spacing w:before="69" w:line="219" w:lineRule="auto"/>
        <w:rPr/>
      </w:pPr>
      <w:r>
        <w:rPr>
          <w:b/>
          <w:bCs/>
          <w:spacing w:val="-2"/>
        </w:rPr>
        <w:t>4.1.2</w:t>
      </w:r>
      <w:r>
        <w:rPr>
          <w:spacing w:val="-2"/>
        </w:rPr>
        <w:t xml:space="preserve">  新建住宅建筑的层高和室内净高应符合下列规定：</w:t>
      </w:r>
    </w:p>
    <w:p>
      <w:pPr>
        <w:pStyle w:val="BodyText"/>
        <w:ind w:left="413"/>
        <w:spacing w:before="61" w:line="219" w:lineRule="auto"/>
        <w:rPr/>
      </w:pPr>
      <w:r>
        <w:rPr>
          <w:b/>
          <w:bCs/>
          <w:spacing w:val="4"/>
        </w:rPr>
        <w:t>1</w:t>
      </w:r>
      <w:r>
        <w:rPr>
          <w:spacing w:val="105"/>
        </w:rPr>
        <w:t xml:space="preserve"> </w:t>
      </w:r>
      <w:r>
        <w:rPr>
          <w:spacing w:val="4"/>
        </w:rPr>
        <w:t>层高不应低于3.00m;</w:t>
      </w:r>
    </w:p>
    <w:p>
      <w:pPr>
        <w:pStyle w:val="BodyText"/>
        <w:ind w:right="18" w:firstLine="413"/>
        <w:spacing w:before="68" w:line="256" w:lineRule="auto"/>
        <w:rPr/>
      </w:pPr>
      <w:r>
        <w:rPr>
          <w:b/>
          <w:bCs/>
          <w:spacing w:val="4"/>
        </w:rPr>
        <w:t>2</w:t>
      </w:r>
      <w:r>
        <w:rPr>
          <w:spacing w:val="4"/>
        </w:rPr>
        <w:t xml:space="preserve">  卧室、起居室的室内净高不应低于2.60m,</w:t>
      </w:r>
      <w:r>
        <w:rPr>
          <w:spacing w:val="69"/>
        </w:rPr>
        <w:t xml:space="preserve"> </w:t>
      </w:r>
      <w:r>
        <w:rPr>
          <w:spacing w:val="4"/>
        </w:rPr>
        <w:t>局部净高不</w:t>
      </w:r>
      <w:r>
        <w:rPr/>
        <w:t xml:space="preserve"> </w:t>
      </w:r>
      <w:r>
        <w:rPr>
          <w:spacing w:val="6"/>
        </w:rPr>
        <w:t>应低于2.20</w:t>
      </w:r>
      <w:r>
        <w:rPr>
          <w:rFonts w:ascii="Times New Roman" w:hAnsi="Times New Roman" w:eastAsia="Times New Roman" w:cs="Times New Roman"/>
          <w:spacing w:val="6"/>
        </w:rPr>
        <w:t>m,</w:t>
      </w:r>
      <w:r>
        <w:rPr>
          <w:rFonts w:ascii="Times New Roman" w:hAnsi="Times New Roman" w:eastAsia="Times New Roman" w:cs="Times New Roman"/>
          <w:spacing w:val="25"/>
        </w:rPr>
        <w:t xml:space="preserve">  </w:t>
      </w:r>
      <w:r>
        <w:rPr>
          <w:spacing w:val="6"/>
        </w:rPr>
        <w:t>且局部净高低于2.60</w:t>
      </w:r>
      <w:r>
        <w:rPr>
          <w:rFonts w:ascii="Times New Roman" w:hAnsi="Times New Roman" w:eastAsia="Times New Roman" w:cs="Times New Roman"/>
          <w:spacing w:val="6"/>
        </w:rPr>
        <w:t>m</w:t>
      </w:r>
      <w:r>
        <w:rPr>
          <w:rFonts w:ascii="Times New Roman" w:hAnsi="Times New Roman" w:eastAsia="Times New Roman" w:cs="Times New Roman"/>
          <w:spacing w:val="17"/>
        </w:rPr>
        <w:t xml:space="preserve"> </w:t>
      </w:r>
      <w:r>
        <w:rPr>
          <w:spacing w:val="6"/>
        </w:rPr>
        <w:t>的面积不应大于室内使</w:t>
      </w:r>
      <w:r>
        <w:rPr/>
        <w:t xml:space="preserve"> </w:t>
      </w:r>
      <w:r>
        <w:rPr>
          <w:spacing w:val="8"/>
        </w:rPr>
        <w:t>用面积的1/3;</w:t>
      </w:r>
    </w:p>
    <w:p>
      <w:pPr>
        <w:pStyle w:val="BodyText"/>
        <w:ind w:right="17"/>
        <w:spacing w:before="69" w:line="219" w:lineRule="auto"/>
        <w:jc w:val="right"/>
        <w:rPr/>
      </w:pPr>
      <w:r>
        <w:rPr>
          <w:b/>
          <w:bCs/>
          <w:spacing w:val="3"/>
        </w:rPr>
        <w:t>3</w:t>
      </w:r>
      <w:r>
        <w:rPr>
          <w:spacing w:val="3"/>
        </w:rPr>
        <w:t xml:space="preserve">  利用坡屋顶内空间作卧室、起居室时，室内净高不低于</w:t>
      </w:r>
    </w:p>
    <w:p>
      <w:pPr>
        <w:pStyle w:val="BodyText"/>
        <w:spacing w:before="61" w:line="219" w:lineRule="auto"/>
        <w:rPr/>
      </w:pPr>
      <w:r>
        <w:rPr>
          <w:rFonts w:ascii="Times New Roman" w:hAnsi="Times New Roman" w:eastAsia="Times New Roman" w:cs="Times New Roman"/>
          <w:spacing w:val="2"/>
        </w:rPr>
        <w:t>2.20m</w:t>
      </w:r>
      <w:r>
        <w:rPr>
          <w:rFonts w:ascii="Times New Roman" w:hAnsi="Times New Roman" w:eastAsia="Times New Roman" w:cs="Times New Roman"/>
          <w:spacing w:val="49"/>
          <w:w w:val="101"/>
        </w:rPr>
        <w:t xml:space="preserve"> </w:t>
      </w:r>
      <w:r>
        <w:rPr>
          <w:spacing w:val="2"/>
        </w:rPr>
        <w:t>的使用面积不应小于室内使用面积的1/2;</w:t>
      </w:r>
    </w:p>
    <w:p>
      <w:pPr>
        <w:pStyle w:val="BodyText"/>
        <w:ind w:left="410"/>
        <w:spacing w:before="71" w:line="219" w:lineRule="auto"/>
        <w:rPr/>
      </w:pPr>
      <w:r>
        <w:rPr>
          <w:rFonts w:ascii="Times New Roman" w:hAnsi="Times New Roman" w:eastAsia="Times New Roman" w:cs="Times New Roman"/>
          <w:b/>
          <w:bCs/>
          <w:spacing w:val="2"/>
        </w:rPr>
        <w:t>4    </w:t>
      </w:r>
      <w:r>
        <w:rPr>
          <w:spacing w:val="2"/>
        </w:rPr>
        <w:t>厨房、卫生间的室内净高不应低于2.20</w:t>
      </w:r>
      <w:r>
        <w:rPr>
          <w:rFonts w:ascii="Times New Roman" w:hAnsi="Times New Roman" w:eastAsia="Times New Roman" w:cs="Times New Roman"/>
          <w:spacing w:val="2"/>
        </w:rPr>
        <w:t>m</w:t>
      </w:r>
      <w:r>
        <w:rPr>
          <w:spacing w:val="2"/>
        </w:rPr>
        <w:t>。</w:t>
      </w:r>
    </w:p>
    <w:p>
      <w:pPr>
        <w:pStyle w:val="BodyText"/>
        <w:ind w:right="4"/>
        <w:spacing w:before="60" w:line="255" w:lineRule="auto"/>
        <w:rPr/>
      </w:pPr>
      <w:r>
        <w:rPr>
          <w:rFonts w:ascii="Times New Roman" w:hAnsi="Times New Roman" w:eastAsia="Times New Roman" w:cs="Times New Roman"/>
          <w:spacing w:val="4"/>
        </w:rPr>
        <w:t>4.1.3     </w:t>
      </w:r>
      <w:r>
        <w:rPr>
          <w:spacing w:val="4"/>
        </w:rPr>
        <w:t>卧室、起居室和厨房不应布</w:t>
      </w:r>
      <w:r>
        <w:rPr>
          <w:spacing w:val="3"/>
        </w:rPr>
        <w:t>置在地下室。当布置在半地</w:t>
      </w:r>
      <w:r>
        <w:rPr/>
        <w:t xml:space="preserve"> </w:t>
      </w:r>
      <w:r>
        <w:rPr>
          <w:spacing w:val="-1"/>
        </w:rPr>
        <w:t>下室时，应合理布置，采取必要的通风、防潮、排水及安全防护</w:t>
      </w:r>
      <w:r>
        <w:rPr>
          <w:spacing w:val="12"/>
        </w:rPr>
        <w:t xml:space="preserve"> </w:t>
      </w:r>
      <w:r>
        <w:rPr>
          <w:spacing w:val="-8"/>
        </w:rPr>
        <w:t>等措施。</w:t>
      </w:r>
    </w:p>
    <w:p>
      <w:pPr>
        <w:pStyle w:val="BodyText"/>
        <w:spacing w:before="81" w:line="219" w:lineRule="auto"/>
        <w:rPr/>
      </w:pPr>
      <w:r>
        <w:rPr>
          <w:rFonts w:ascii="Times New Roman" w:hAnsi="Times New Roman" w:eastAsia="Times New Roman" w:cs="Times New Roman"/>
          <w:b/>
          <w:bCs/>
          <w:spacing w:val="1"/>
        </w:rPr>
        <w:t>4.1.4</w:t>
      </w:r>
      <w:r>
        <w:rPr>
          <w:rFonts w:ascii="Times New Roman" w:hAnsi="Times New Roman" w:eastAsia="Times New Roman" w:cs="Times New Roman"/>
          <w:b/>
          <w:bCs/>
          <w:spacing w:val="2"/>
        </w:rPr>
        <w:t xml:space="preserve">      </w:t>
      </w:r>
      <w:r>
        <w:rPr>
          <w:spacing w:val="1"/>
        </w:rPr>
        <w:t>厨房的使用面积不应小于3.5</w:t>
      </w:r>
      <w:r>
        <w:rPr>
          <w:rFonts w:ascii="Times New Roman" w:hAnsi="Times New Roman" w:eastAsia="Times New Roman" w:cs="Times New Roman"/>
          <w:spacing w:val="1"/>
        </w:rPr>
        <w:t>m²</w:t>
      </w:r>
      <w:r>
        <w:rPr>
          <w:spacing w:val="1"/>
        </w:rPr>
        <w:t>。</w:t>
      </w:r>
    </w:p>
    <w:p>
      <w:pPr>
        <w:pStyle w:val="BodyText"/>
        <w:ind w:right="20" w:firstLine="3"/>
        <w:spacing w:before="59" w:line="247" w:lineRule="auto"/>
        <w:rPr/>
      </w:pPr>
      <w:r>
        <w:rPr>
          <w:b/>
          <w:bCs/>
          <w:spacing w:val="2"/>
        </w:rPr>
        <w:t>4.1.5</w:t>
      </w:r>
      <w:r>
        <w:rPr>
          <w:spacing w:val="106"/>
        </w:rPr>
        <w:t xml:space="preserve"> </w:t>
      </w:r>
      <w:r>
        <w:rPr>
          <w:spacing w:val="2"/>
        </w:rPr>
        <w:t>厨房应配置洗涤池、水龙头、案台、灶具、排油烟机等</w:t>
      </w:r>
      <w:r>
        <w:rPr/>
        <w:t xml:space="preserve"> </w:t>
      </w:r>
      <w:r>
        <w:rPr>
          <w:spacing w:val="-4"/>
        </w:rPr>
        <w:t>设施或预留安装位置。</w:t>
      </w:r>
    </w:p>
    <w:p>
      <w:pPr>
        <w:pStyle w:val="BodyText"/>
        <w:spacing w:before="67" w:line="260" w:lineRule="auto"/>
        <w:rPr/>
      </w:pPr>
      <w:r>
        <w:rPr>
          <w:spacing w:val="3"/>
        </w:rPr>
        <w:t>4.1.6</w:t>
      </w:r>
      <w:r>
        <w:rPr>
          <w:spacing w:val="97"/>
        </w:rPr>
        <w:t xml:space="preserve"> </w:t>
      </w:r>
      <w:r>
        <w:rPr>
          <w:spacing w:val="3"/>
        </w:rPr>
        <w:t>每套住宅的卫生间应至少配置便器、洗</w:t>
      </w:r>
      <w:r>
        <w:rPr>
          <w:spacing w:val="2"/>
        </w:rPr>
        <w:t>浴器、洗面器三</w:t>
      </w:r>
      <w:r>
        <w:rPr/>
        <w:t xml:space="preserve"> </w:t>
      </w:r>
      <w:r>
        <w:rPr>
          <w:spacing w:val="-1"/>
        </w:rPr>
        <w:t>件卫生器具或预留安装位置及条件。布置便器的卫生间</w:t>
      </w:r>
      <w:r>
        <w:rPr>
          <w:spacing w:val="-2"/>
        </w:rPr>
        <w:t>的门不应</w:t>
      </w:r>
      <w:r>
        <w:rPr/>
        <w:t xml:space="preserve"> </w:t>
      </w:r>
      <w:r>
        <w:rPr>
          <w:spacing w:val="-1"/>
        </w:rPr>
        <w:t>直接开在厨房内。便器、洗浴器和洗面器集中配置的卫生间的使</w:t>
      </w:r>
      <w:r>
        <w:rPr>
          <w:spacing w:val="17"/>
        </w:rPr>
        <w:t xml:space="preserve"> </w:t>
      </w:r>
      <w:r>
        <w:rPr/>
        <w:t>用面积不应小于2.5</w:t>
      </w:r>
      <w:r>
        <w:rPr>
          <w:rFonts w:ascii="Times New Roman" w:hAnsi="Times New Roman" w:eastAsia="Times New Roman" w:cs="Times New Roman"/>
        </w:rPr>
        <w:t>m²</w:t>
      </w:r>
      <w:r>
        <w:rPr/>
        <w:t>。</w:t>
      </w:r>
    </w:p>
    <w:p>
      <w:pPr>
        <w:pStyle w:val="BodyText"/>
        <w:ind w:right="15"/>
        <w:spacing w:before="69" w:line="246" w:lineRule="auto"/>
        <w:rPr/>
      </w:pPr>
      <w:r>
        <w:rPr>
          <w:rFonts w:ascii="Times New Roman" w:hAnsi="Times New Roman" w:eastAsia="Times New Roman" w:cs="Times New Roman"/>
          <w:b/>
          <w:bCs/>
          <w:spacing w:val="4"/>
        </w:rPr>
        <w:t>4.1.7     </w:t>
      </w:r>
      <w:r>
        <w:rPr>
          <w:spacing w:val="4"/>
        </w:rPr>
        <w:t>卫生间不应直接布置在其他住户的卧室、起</w:t>
      </w:r>
      <w:r>
        <w:rPr>
          <w:spacing w:val="3"/>
        </w:rPr>
        <w:t>居室、厨房</w:t>
      </w:r>
      <w:r>
        <w:rPr/>
        <w:t xml:space="preserve"> </w:t>
      </w:r>
      <w:r>
        <w:rPr>
          <w:spacing w:val="-6"/>
        </w:rPr>
        <w:t>或餐厅的上层。</w:t>
      </w:r>
    </w:p>
    <w:p>
      <w:pPr>
        <w:spacing w:line="246" w:lineRule="auto"/>
        <w:sectPr>
          <w:footerReference w:type="default" r:id="rId12"/>
          <w:pgSz w:w="7940" w:h="11500"/>
          <w:pgMar w:top="977" w:right="1049" w:bottom="1011" w:left="1019" w:header="0" w:footer="867" w:gutter="0"/>
        </w:sectPr>
        <w:rPr/>
      </w:pPr>
    </w:p>
    <w:p>
      <w:pPr>
        <w:pStyle w:val="BodyText"/>
        <w:ind w:left="2"/>
        <w:spacing w:before="40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5"/>
        </w:rPr>
        <w:t>4.1.8</w:t>
      </w:r>
      <w:r>
        <w:rPr>
          <w:sz w:val="20"/>
          <w:szCs w:val="20"/>
          <w:spacing w:val="5"/>
        </w:rPr>
        <w:t xml:space="preserve">  </w:t>
      </w:r>
      <w:r>
        <w:rPr>
          <w:sz w:val="20"/>
          <w:szCs w:val="20"/>
          <w:u w:val="single" w:color="auto"/>
          <w:spacing w:val="-90"/>
        </w:rPr>
        <w:t xml:space="preserve"> </w:t>
      </w:r>
      <w:r>
        <w:rPr>
          <w:sz w:val="20"/>
          <w:szCs w:val="20"/>
          <w:u w:val="single" w:color="auto"/>
          <w:spacing w:val="5"/>
        </w:rPr>
        <w:t>卫生</w:t>
      </w:r>
      <w:r>
        <w:rPr>
          <w:sz w:val="20"/>
          <w:szCs w:val="20"/>
          <w:spacing w:val="5"/>
        </w:rPr>
        <w:t>间的设置应符合下列规定：</w:t>
      </w:r>
    </w:p>
    <w:p>
      <w:pPr>
        <w:pStyle w:val="BodyText"/>
        <w:ind w:right="13" w:firstLine="420"/>
        <w:spacing w:before="80" w:line="258" w:lineRule="auto"/>
        <w:rPr>
          <w:sz w:val="20"/>
          <w:szCs w:val="20"/>
        </w:rPr>
      </w:pPr>
      <w:r>
        <w:rPr>
          <w:sz w:val="20"/>
          <w:szCs w:val="20"/>
          <w:spacing w:val="17"/>
        </w:rPr>
        <w:t>1</w:t>
      </w:r>
      <w:r>
        <w:rPr>
          <w:sz w:val="20"/>
          <w:szCs w:val="20"/>
          <w:spacing w:val="6"/>
        </w:rPr>
        <w:t xml:space="preserve">  </w:t>
      </w:r>
      <w:r>
        <w:rPr>
          <w:sz w:val="20"/>
          <w:szCs w:val="20"/>
          <w:spacing w:val="17"/>
        </w:rPr>
        <w:t>多层套型中，布置有起居室或卧室的楼层至少应设1间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  <w:spacing w:val="6"/>
        </w:rPr>
        <w:t>配有便器和洗面器或预留安装位置及条件的卫生间；</w:t>
      </w:r>
    </w:p>
    <w:p>
      <w:pPr>
        <w:pStyle w:val="BodyText"/>
        <w:ind w:left="420"/>
        <w:spacing w:before="82" w:line="219" w:lineRule="auto"/>
        <w:rPr>
          <w:sz w:val="20"/>
          <w:szCs w:val="20"/>
        </w:rPr>
      </w:pPr>
      <w:r>
        <w:rPr>
          <w:sz w:val="20"/>
          <w:szCs w:val="20"/>
          <w:spacing w:val="7"/>
        </w:rPr>
        <w:t>2  卫生间便器和洗浴器旁应设扶手或预留安装条件；</w:t>
      </w:r>
    </w:p>
    <w:p>
      <w:pPr>
        <w:pStyle w:val="BodyText"/>
        <w:ind w:right="17" w:firstLine="420"/>
        <w:spacing w:before="72" w:line="248" w:lineRule="auto"/>
        <w:rPr>
          <w:sz w:val="20"/>
          <w:szCs w:val="20"/>
        </w:rPr>
      </w:pPr>
      <w:r>
        <w:rPr>
          <w:sz w:val="20"/>
          <w:szCs w:val="20"/>
          <w:spacing w:val="12"/>
        </w:rPr>
        <w:t>3  当卫生间门向内开启时，应预留向外开启或推拉开启的</w:t>
      </w:r>
      <w:r>
        <w:rPr>
          <w:sz w:val="20"/>
          <w:szCs w:val="20"/>
          <w:spacing w:val="10"/>
        </w:rPr>
        <w:t xml:space="preserve"> </w:t>
      </w:r>
      <w:r>
        <w:rPr>
          <w:sz w:val="20"/>
          <w:szCs w:val="20"/>
          <w:spacing w:val="-1"/>
        </w:rPr>
        <w:t>空间条件。</w:t>
      </w:r>
    </w:p>
    <w:p>
      <w:pPr>
        <w:pStyle w:val="BodyText"/>
        <w:ind w:left="2"/>
        <w:spacing w:before="103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3"/>
        </w:rPr>
        <w:t>4.1.9</w:t>
      </w:r>
      <w:r>
        <w:rPr>
          <w:sz w:val="20"/>
          <w:szCs w:val="20"/>
          <w:spacing w:val="31"/>
        </w:rPr>
        <w:t xml:space="preserve">  </w:t>
      </w:r>
      <w:r>
        <w:rPr>
          <w:sz w:val="20"/>
          <w:szCs w:val="20"/>
          <w:spacing w:val="3"/>
        </w:rPr>
        <w:t>卫生间防水和防潮应符合下列规定：</w:t>
      </w:r>
    </w:p>
    <w:p>
      <w:pPr>
        <w:pStyle w:val="BodyText"/>
        <w:ind w:right="23" w:firstLine="423"/>
        <w:spacing w:before="43"/>
        <w:rPr>
          <w:sz w:val="22"/>
          <w:szCs w:val="22"/>
        </w:rPr>
      </w:pPr>
      <w:r>
        <w:rPr>
          <w:sz w:val="22"/>
          <w:szCs w:val="22"/>
          <w:b/>
          <w:bCs/>
          <w:spacing w:val="-7"/>
        </w:rPr>
        <w:t>1</w:t>
      </w:r>
      <w:r>
        <w:rPr>
          <w:sz w:val="22"/>
          <w:szCs w:val="22"/>
          <w:spacing w:val="102"/>
        </w:rPr>
        <w:t xml:space="preserve"> </w:t>
      </w:r>
      <w:r>
        <w:rPr>
          <w:sz w:val="22"/>
          <w:szCs w:val="22"/>
          <w:spacing w:val="-7"/>
        </w:rPr>
        <w:t>卫生间地面应设防水层和地漏，且应有坡向地</w:t>
      </w:r>
      <w:r>
        <w:rPr>
          <w:sz w:val="22"/>
          <w:szCs w:val="22"/>
          <w:spacing w:val="-8"/>
        </w:rPr>
        <w:t>漏的排水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spacing w:val="3"/>
        </w:rPr>
        <w:t>坡，排水坡度不应小于1%;</w:t>
      </w:r>
    </w:p>
    <w:p>
      <w:pPr>
        <w:pStyle w:val="BodyText"/>
        <w:ind w:firstLine="422"/>
        <w:spacing w:before="65" w:line="265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2"/>
        </w:rPr>
        <w:t>2</w:t>
      </w:r>
      <w:r>
        <w:rPr>
          <w:sz w:val="20"/>
          <w:szCs w:val="20"/>
          <w:spacing w:val="12"/>
        </w:rPr>
        <w:t xml:space="preserve">  卫生间淋浴区墙面防水层高度不应小于2.00m,</w:t>
      </w:r>
      <w:r>
        <w:rPr>
          <w:sz w:val="20"/>
          <w:szCs w:val="20"/>
          <w:spacing w:val="99"/>
        </w:rPr>
        <w:t xml:space="preserve"> </w:t>
      </w:r>
      <w:r>
        <w:rPr>
          <w:sz w:val="20"/>
          <w:szCs w:val="20"/>
          <w:spacing w:val="12"/>
        </w:rPr>
        <w:t>且不低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25"/>
        </w:rPr>
        <w:t>于淋浴喷淋口高度，剩余墙面和顶棚应做防潮层或采取防潮</w:t>
      </w:r>
      <w:r>
        <w:rPr>
          <w:sz w:val="20"/>
          <w:szCs w:val="20"/>
          <w:spacing w:val="5"/>
        </w:rPr>
        <w:t xml:space="preserve"> </w:t>
      </w:r>
      <w:r>
        <w:rPr>
          <w:sz w:val="20"/>
          <w:szCs w:val="20"/>
          <w:spacing w:val="3"/>
        </w:rPr>
        <w:t>措施；</w:t>
      </w:r>
    </w:p>
    <w:p>
      <w:pPr>
        <w:pStyle w:val="BodyText"/>
        <w:ind w:left="422"/>
        <w:spacing w:before="102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9"/>
        </w:rPr>
        <w:t>3</w:t>
      </w:r>
      <w:r>
        <w:rPr>
          <w:sz w:val="20"/>
          <w:szCs w:val="20"/>
          <w:spacing w:val="9"/>
        </w:rPr>
        <w:t xml:space="preserve">  洗面器处墙面防水层高度不应小于1.20m;</w:t>
      </w:r>
    </w:p>
    <w:p>
      <w:pPr>
        <w:pStyle w:val="BodyText"/>
        <w:ind w:right="17" w:firstLine="422"/>
        <w:spacing w:before="62" w:line="262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2"/>
        </w:rPr>
        <w:t>4</w:t>
      </w:r>
      <w:r>
        <w:rPr>
          <w:sz w:val="20"/>
          <w:szCs w:val="20"/>
          <w:spacing w:val="8"/>
        </w:rPr>
        <w:t xml:space="preserve">  </w:t>
      </w:r>
      <w:r>
        <w:rPr>
          <w:sz w:val="20"/>
          <w:szCs w:val="20"/>
          <w:spacing w:val="12"/>
        </w:rPr>
        <w:t>除本条第2、3款外的卫生间其他部位墙面，地面防水的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  <w:spacing w:val="9"/>
        </w:rPr>
        <w:t>泛水翻起高度不应小于0.25</w:t>
      </w:r>
      <w:r>
        <w:rPr>
          <w:rFonts w:ascii="Times New Roman" w:hAnsi="Times New Roman" w:eastAsia="Times New Roman" w:cs="Times New Roman"/>
          <w:sz w:val="20"/>
          <w:szCs w:val="20"/>
          <w:spacing w:val="9"/>
        </w:rPr>
        <w:t>m</w:t>
      </w:r>
      <w:r>
        <w:rPr>
          <w:sz w:val="20"/>
          <w:szCs w:val="20"/>
          <w:spacing w:val="9"/>
        </w:rPr>
        <w:t>。</w:t>
      </w:r>
    </w:p>
    <w:p>
      <w:pPr>
        <w:pStyle w:val="BodyText"/>
        <w:ind w:right="149"/>
        <w:spacing w:before="49" w:line="261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9"/>
        </w:rPr>
        <w:t>4.1.10      </w:t>
      </w:r>
      <w:r>
        <w:rPr>
          <w:sz w:val="20"/>
          <w:szCs w:val="20"/>
          <w:spacing w:val="9"/>
        </w:rPr>
        <w:t>卫生间地面应采用</w:t>
      </w:r>
      <w:r>
        <w:rPr>
          <w:sz w:val="20"/>
          <w:szCs w:val="20"/>
          <w:spacing w:val="8"/>
        </w:rPr>
        <w:t>防滑铺装，地面静摩擦系数 </w:t>
      </w:r>
      <w:r>
        <w:rPr>
          <w:rFonts w:ascii="Times New Roman" w:hAnsi="Times New Roman" w:eastAsia="Times New Roman" w:cs="Times New Roman"/>
          <w:sz w:val="20"/>
          <w:szCs w:val="20"/>
          <w:spacing w:val="8"/>
        </w:rPr>
        <w:t>(</w:t>
      </w:r>
      <w:r>
        <w:rPr>
          <w:rFonts w:ascii="Times New Roman" w:hAnsi="Times New Roman" w:eastAsia="Times New Roman" w:cs="Times New Roman"/>
          <w:sz w:val="20"/>
          <w:szCs w:val="20"/>
        </w:rPr>
        <w:t>COF</w:t>
      </w:r>
      <w:r>
        <w:rPr>
          <w:rFonts w:ascii="Times New Roman" w:hAnsi="Times New Roman" w:eastAsia="Times New Roman" w:cs="Times New Roman"/>
          <w:sz w:val="20"/>
          <w:szCs w:val="20"/>
          <w:spacing w:val="8"/>
        </w:rPr>
        <w:t>)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sz w:val="20"/>
          <w:szCs w:val="20"/>
          <w:spacing w:val="10"/>
        </w:rPr>
        <w:t>不应小于0.6。</w:t>
      </w:r>
    </w:p>
    <w:p>
      <w:pPr>
        <w:pStyle w:val="BodyText"/>
        <w:ind w:right="5" w:firstLine="2"/>
        <w:spacing w:before="68" w:line="262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8"/>
        </w:rPr>
        <w:t>4.1.11</w:t>
      </w:r>
      <w:r>
        <w:rPr>
          <w:sz w:val="20"/>
          <w:szCs w:val="20"/>
          <w:spacing w:val="8"/>
        </w:rPr>
        <w:t xml:space="preserve">  每套住宅应设放置洗衣机的位置，并应配置</w:t>
      </w:r>
      <w:r>
        <w:rPr>
          <w:sz w:val="20"/>
          <w:szCs w:val="20"/>
          <w:spacing w:val="7"/>
        </w:rPr>
        <w:t>洗衣机的给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5"/>
        </w:rPr>
        <w:t>水排水设施及其他使用条件。</w:t>
      </w:r>
    </w:p>
    <w:p>
      <w:pPr>
        <w:pStyle w:val="BodyText"/>
        <w:ind w:right="22"/>
        <w:spacing w:before="62" w:line="259" w:lineRule="auto"/>
        <w:rPr>
          <w:sz w:val="20"/>
          <w:szCs w:val="20"/>
        </w:rPr>
      </w:pPr>
      <w:r>
        <w:rPr>
          <w:sz w:val="22"/>
          <w:szCs w:val="22"/>
          <w:spacing w:val="-10"/>
        </w:rPr>
        <w:t>4.1.12  厨房、卫生间、封闭阳台与相邻空间地面的高差不应大</w:t>
      </w:r>
      <w:r>
        <w:rPr>
          <w:sz w:val="22"/>
          <w:szCs w:val="22"/>
          <w:spacing w:val="8"/>
        </w:rPr>
        <w:t xml:space="preserve"> </w:t>
      </w:r>
      <w:r>
        <w:rPr>
          <w:sz w:val="20"/>
          <w:szCs w:val="20"/>
          <w:spacing w:val="13"/>
        </w:rPr>
        <w:t>于0.015m,</w:t>
      </w:r>
      <w:r>
        <w:rPr>
          <w:sz w:val="20"/>
          <w:szCs w:val="20"/>
          <w:spacing w:val="62"/>
        </w:rPr>
        <w:t xml:space="preserve"> </w:t>
      </w:r>
      <w:r>
        <w:rPr>
          <w:sz w:val="20"/>
          <w:szCs w:val="20"/>
          <w:spacing w:val="13"/>
        </w:rPr>
        <w:t>并应以斜坡过渡；户门的门槛高度和户门内</w:t>
      </w:r>
      <w:r>
        <w:rPr>
          <w:sz w:val="20"/>
          <w:szCs w:val="20"/>
          <w:spacing w:val="12"/>
        </w:rPr>
        <w:t>外高差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9"/>
        </w:rPr>
        <w:t>均不应大于0.015</w:t>
      </w:r>
      <w:r>
        <w:rPr>
          <w:rFonts w:ascii="Times New Roman" w:hAnsi="Times New Roman" w:eastAsia="Times New Roman" w:cs="Times New Roman"/>
          <w:sz w:val="20"/>
          <w:szCs w:val="20"/>
          <w:spacing w:val="9"/>
        </w:rPr>
        <w:t>m</w:t>
      </w:r>
      <w:r>
        <w:rPr>
          <w:sz w:val="20"/>
          <w:szCs w:val="20"/>
          <w:spacing w:val="9"/>
        </w:rPr>
        <w:t>。</w:t>
      </w:r>
    </w:p>
    <w:p>
      <w:pPr>
        <w:pStyle w:val="BodyText"/>
        <w:ind w:right="3"/>
        <w:spacing w:before="68" w:line="268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8"/>
        </w:rPr>
        <w:t>4.1.13      </w:t>
      </w:r>
      <w:r>
        <w:rPr>
          <w:sz w:val="20"/>
          <w:szCs w:val="20"/>
          <w:spacing w:val="8"/>
        </w:rPr>
        <w:t>套内入口过道净宽</w:t>
      </w:r>
      <w:r>
        <w:rPr>
          <w:sz w:val="20"/>
          <w:szCs w:val="20"/>
          <w:spacing w:val="7"/>
        </w:rPr>
        <w:t>不应小于1.10</w:t>
      </w:r>
      <w:r>
        <w:rPr>
          <w:rFonts w:ascii="Times New Roman" w:hAnsi="Times New Roman" w:eastAsia="Times New Roman" w:cs="Times New Roman"/>
          <w:sz w:val="20"/>
          <w:szCs w:val="20"/>
          <w:spacing w:val="7"/>
        </w:rPr>
        <w:t>m;   </w:t>
      </w:r>
      <w:r>
        <w:rPr>
          <w:sz w:val="20"/>
          <w:szCs w:val="20"/>
          <w:spacing w:val="7"/>
        </w:rPr>
        <w:t>通往卧室、起居室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9"/>
        </w:rPr>
        <w:t>的过道净宽不应小于1.00</w:t>
      </w:r>
      <w:r>
        <w:rPr>
          <w:rFonts w:ascii="Times New Roman" w:hAnsi="Times New Roman" w:eastAsia="Times New Roman" w:cs="Times New Roman"/>
          <w:sz w:val="20"/>
          <w:szCs w:val="20"/>
          <w:spacing w:val="9"/>
        </w:rPr>
        <w:t>m;</w:t>
      </w:r>
      <w:r>
        <w:rPr>
          <w:rFonts w:ascii="Times New Roman" w:hAnsi="Times New Roman" w:eastAsia="Times New Roman" w:cs="Times New Roman"/>
          <w:sz w:val="20"/>
          <w:szCs w:val="20"/>
          <w:spacing w:val="5"/>
        </w:rPr>
        <w:t xml:space="preserve">   </w:t>
      </w:r>
      <w:r>
        <w:rPr>
          <w:sz w:val="20"/>
          <w:szCs w:val="20"/>
          <w:spacing w:val="9"/>
        </w:rPr>
        <w:t>通往厨房、卫生间、贮藏室的过道</w:t>
      </w:r>
      <w:r>
        <w:rPr>
          <w:sz w:val="20"/>
          <w:szCs w:val="20"/>
          <w:spacing w:val="2"/>
        </w:rPr>
        <w:t xml:space="preserve"> </w:t>
      </w:r>
      <w:r>
        <w:rPr>
          <w:sz w:val="20"/>
          <w:szCs w:val="20"/>
          <w:spacing w:val="9"/>
        </w:rPr>
        <w:t>净宽不应小于0.90</w:t>
      </w:r>
      <w:r>
        <w:rPr>
          <w:rFonts w:ascii="Times New Roman" w:hAnsi="Times New Roman" w:eastAsia="Times New Roman" w:cs="Times New Roman"/>
          <w:sz w:val="20"/>
          <w:szCs w:val="20"/>
          <w:spacing w:val="9"/>
        </w:rPr>
        <w:t>m</w:t>
      </w:r>
      <w:r>
        <w:rPr>
          <w:sz w:val="20"/>
          <w:szCs w:val="20"/>
          <w:spacing w:val="9"/>
        </w:rPr>
        <w:t>。</w:t>
      </w:r>
    </w:p>
    <w:p>
      <w:pPr>
        <w:pStyle w:val="BodyText"/>
        <w:ind w:right="20"/>
        <w:spacing w:before="80" w:line="272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7"/>
        </w:rPr>
        <w:t>4.1.14      </w:t>
      </w:r>
      <w:r>
        <w:rPr>
          <w:sz w:val="20"/>
          <w:szCs w:val="20"/>
          <w:spacing w:val="7"/>
        </w:rPr>
        <w:t>新建住宅建筑户门通行净宽不应小于0.90</w:t>
      </w:r>
      <w:r>
        <w:rPr>
          <w:rFonts w:ascii="Times New Roman" w:hAnsi="Times New Roman" w:eastAsia="Times New Roman" w:cs="Times New Roman"/>
          <w:sz w:val="20"/>
          <w:szCs w:val="20"/>
          <w:spacing w:val="7"/>
        </w:rPr>
        <w:t>m,</w:t>
      </w:r>
      <w:r>
        <w:rPr>
          <w:rFonts w:ascii="Times New Roman" w:hAnsi="Times New Roman" w:eastAsia="Times New Roman" w:cs="Times New Roman"/>
          <w:sz w:val="20"/>
          <w:szCs w:val="20"/>
          <w:spacing w:val="9"/>
        </w:rPr>
        <w:t xml:space="preserve">   </w:t>
      </w:r>
      <w:r>
        <w:rPr>
          <w:sz w:val="20"/>
          <w:szCs w:val="20"/>
          <w:spacing w:val="7"/>
        </w:rPr>
        <w:t>既有住宅</w:t>
      </w:r>
      <w:r>
        <w:rPr>
          <w:sz w:val="20"/>
          <w:szCs w:val="20"/>
          <w:spacing w:val="2"/>
        </w:rPr>
        <w:t xml:space="preserve"> </w:t>
      </w:r>
      <w:r>
        <w:rPr>
          <w:sz w:val="20"/>
          <w:szCs w:val="20"/>
          <w:spacing w:val="9"/>
        </w:rPr>
        <w:t>建筑改造户门通行净宽不应小于0.80</w:t>
      </w:r>
      <w:r>
        <w:rPr>
          <w:rFonts w:ascii="Times New Roman" w:hAnsi="Times New Roman" w:eastAsia="Times New Roman" w:cs="Times New Roman"/>
          <w:sz w:val="20"/>
          <w:szCs w:val="20"/>
          <w:spacing w:val="9"/>
        </w:rPr>
        <w:t>m</w:t>
      </w:r>
      <w:r>
        <w:rPr>
          <w:rFonts w:ascii="Times New Roman" w:hAnsi="Times New Roman" w:eastAsia="Times New Roman" w:cs="Times New Roman"/>
          <w:sz w:val="20"/>
          <w:szCs w:val="20"/>
          <w:spacing w:val="-22"/>
        </w:rPr>
        <w:t xml:space="preserve"> </w:t>
      </w:r>
      <w:r>
        <w:rPr>
          <w:sz w:val="20"/>
          <w:szCs w:val="20"/>
          <w:spacing w:val="9"/>
        </w:rPr>
        <w:t>。卧室门的</w:t>
      </w:r>
      <w:r>
        <w:rPr>
          <w:sz w:val="20"/>
          <w:szCs w:val="20"/>
          <w:spacing w:val="8"/>
        </w:rPr>
        <w:t>通行净宽不应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8"/>
        </w:rPr>
        <w:t>小于0.80</w:t>
      </w:r>
      <w:r>
        <w:rPr>
          <w:rFonts w:ascii="Times New Roman" w:hAnsi="Times New Roman" w:eastAsia="Times New Roman" w:cs="Times New Roman"/>
          <w:sz w:val="20"/>
          <w:szCs w:val="20"/>
          <w:spacing w:val="8"/>
        </w:rPr>
        <w:t>m,   </w:t>
      </w:r>
      <w:r>
        <w:rPr>
          <w:sz w:val="20"/>
          <w:szCs w:val="20"/>
          <w:spacing w:val="8"/>
        </w:rPr>
        <w:t>厨房门和卫生间门的通行净宽不应小于0.70</w:t>
      </w:r>
      <w:r>
        <w:rPr>
          <w:rFonts w:ascii="Times New Roman" w:hAnsi="Times New Roman" w:eastAsia="Times New Roman" w:cs="Times New Roman"/>
          <w:sz w:val="20"/>
          <w:szCs w:val="20"/>
          <w:spacing w:val="8"/>
        </w:rPr>
        <w:t>m,  </w:t>
      </w:r>
      <w:r>
        <w:rPr>
          <w:sz w:val="20"/>
          <w:szCs w:val="20"/>
          <w:spacing w:val="8"/>
        </w:rPr>
        <w:t>并</w:t>
      </w:r>
      <w:r>
        <w:rPr>
          <w:sz w:val="20"/>
          <w:szCs w:val="20"/>
          <w:spacing w:val="4"/>
        </w:rPr>
        <w:t xml:space="preserve">  </w:t>
      </w:r>
      <w:r>
        <w:rPr>
          <w:sz w:val="20"/>
          <w:szCs w:val="20"/>
          <w:spacing w:val="5"/>
        </w:rPr>
        <w:t>应预留无障碍改造的条件。</w:t>
      </w:r>
    </w:p>
    <w:p>
      <w:pPr>
        <w:pStyle w:val="BodyText"/>
        <w:ind w:left="2"/>
        <w:spacing w:before="73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4"/>
        </w:rPr>
        <w:t>4.1.15</w:t>
      </w:r>
      <w:r>
        <w:rPr>
          <w:sz w:val="20"/>
          <w:szCs w:val="20"/>
          <w:spacing w:val="22"/>
        </w:rPr>
        <w:t xml:space="preserve">  </w:t>
      </w:r>
      <w:r>
        <w:rPr>
          <w:sz w:val="20"/>
          <w:szCs w:val="20"/>
          <w:spacing w:val="4"/>
        </w:rPr>
        <w:t>设有阳台时，应符合下列规定：</w:t>
      </w:r>
    </w:p>
    <w:p>
      <w:pPr>
        <w:spacing w:line="219" w:lineRule="auto"/>
        <w:sectPr>
          <w:footerReference w:type="default" r:id="rId13"/>
          <w:pgSz w:w="7940" w:h="11500"/>
          <w:pgMar w:top="858" w:right="1036" w:bottom="1039" w:left="1029" w:header="0" w:footer="859" w:gutter="0"/>
        </w:sectPr>
        <w:rPr>
          <w:sz w:val="20"/>
          <w:szCs w:val="20"/>
        </w:rPr>
      </w:pPr>
    </w:p>
    <w:p>
      <w:pPr>
        <w:pStyle w:val="BodyText"/>
        <w:ind w:right="95" w:firstLine="413"/>
        <w:spacing w:before="42" w:line="242" w:lineRule="auto"/>
        <w:rPr/>
      </w:pPr>
      <w:r>
        <w:rPr>
          <w:b/>
          <w:bCs/>
          <w:spacing w:val="4"/>
        </w:rPr>
        <w:t>1</w:t>
      </w:r>
      <w:r>
        <w:rPr>
          <w:spacing w:val="4"/>
        </w:rPr>
        <w:t xml:space="preserve">  阳台栏杆净高不应低于1.20m,</w:t>
      </w:r>
      <w:r>
        <w:rPr>
          <w:spacing w:val="57"/>
        </w:rPr>
        <w:t xml:space="preserve"> </w:t>
      </w:r>
      <w:r>
        <w:rPr>
          <w:spacing w:val="4"/>
        </w:rPr>
        <w:t>栏杆的竖向杆件间净距</w:t>
      </w:r>
      <w:r>
        <w:rPr/>
        <w:t xml:space="preserve"> </w:t>
      </w:r>
      <w:r>
        <w:rPr/>
        <w:t>不应大于0.11</w:t>
      </w:r>
      <w:r>
        <w:rPr>
          <w:rFonts w:ascii="Times New Roman" w:hAnsi="Times New Roman" w:eastAsia="Times New Roman" w:cs="Times New Roman"/>
        </w:rPr>
        <w:t>m,   </w:t>
      </w:r>
      <w:r>
        <w:rPr/>
        <w:t>阳台栏杆应采取防</w:t>
      </w:r>
      <w:r>
        <w:rPr>
          <w:spacing w:val="-1"/>
        </w:rPr>
        <w:t>止攀登的措施；</w:t>
      </w:r>
    </w:p>
    <w:p>
      <w:pPr>
        <w:pStyle w:val="BodyText"/>
        <w:ind w:right="83" w:firstLine="413"/>
        <w:spacing w:before="82" w:line="251" w:lineRule="auto"/>
        <w:rPr/>
      </w:pPr>
      <w:r>
        <w:rPr>
          <w:b/>
          <w:bCs/>
          <w:spacing w:val="3"/>
        </w:rPr>
        <w:t>2</w:t>
      </w:r>
      <w:r>
        <w:rPr>
          <w:spacing w:val="3"/>
        </w:rPr>
        <w:t xml:space="preserve">  阳台栏杆有放置物品或花盆的设施时，应采取防止物品</w:t>
      </w:r>
      <w:r>
        <w:rPr/>
        <w:t xml:space="preserve"> </w:t>
      </w:r>
      <w:r>
        <w:rPr>
          <w:spacing w:val="-4"/>
        </w:rPr>
        <w:t>或花盆坠落的措施；</w:t>
      </w:r>
    </w:p>
    <w:p>
      <w:pPr>
        <w:pStyle w:val="BodyText"/>
        <w:ind w:left="413"/>
        <w:spacing w:before="77" w:line="219" w:lineRule="auto"/>
        <w:rPr/>
      </w:pPr>
      <w:r>
        <w:rPr>
          <w:b/>
          <w:bCs/>
          <w:spacing w:val="-2"/>
        </w:rPr>
        <w:t>3</w:t>
      </w:r>
      <w:r>
        <w:rPr>
          <w:spacing w:val="-2"/>
        </w:rPr>
        <w:t xml:space="preserve">  开敞式阳台应采取有组织排水并采取防水措施；</w:t>
      </w:r>
    </w:p>
    <w:p>
      <w:pPr>
        <w:pStyle w:val="BodyText"/>
        <w:spacing w:before="50" w:line="219" w:lineRule="auto"/>
        <w:jc w:val="right"/>
        <w:rPr/>
      </w:pPr>
      <w:r>
        <w:rPr>
          <w:b/>
          <w:bCs/>
          <w:spacing w:val="-1"/>
        </w:rPr>
        <w:t>4</w:t>
      </w:r>
      <w:r>
        <w:rPr>
          <w:spacing w:val="84"/>
        </w:rPr>
        <w:t xml:space="preserve"> </w:t>
      </w:r>
      <w:r>
        <w:rPr>
          <w:spacing w:val="-1"/>
        </w:rPr>
        <w:t>放置洗衣机的阳台地面应采取有组织排水并设置防水层；</w:t>
      </w:r>
    </w:p>
    <w:p>
      <w:pPr>
        <w:pStyle w:val="BodyText"/>
        <w:ind w:left="413"/>
        <w:spacing w:before="61" w:line="219" w:lineRule="auto"/>
        <w:rPr/>
      </w:pPr>
      <w:r>
        <w:rPr>
          <w:b/>
          <w:bCs/>
          <w:spacing w:val="-3"/>
        </w:rPr>
        <w:t>5</w:t>
      </w:r>
      <w:r>
        <w:rPr>
          <w:spacing w:val="101"/>
        </w:rPr>
        <w:t xml:space="preserve"> </w:t>
      </w:r>
      <w:r>
        <w:rPr>
          <w:spacing w:val="-3"/>
        </w:rPr>
        <w:t>各套住宅之间毗连的阳台应设分户隔板。</w:t>
      </w:r>
    </w:p>
    <w:p>
      <w:pPr>
        <w:pStyle w:val="BodyText"/>
        <w:ind w:right="19"/>
        <w:spacing w:before="85" w:line="260" w:lineRule="auto"/>
        <w:rPr/>
      </w:pPr>
      <w:r>
        <w:rPr>
          <w:rFonts w:ascii="Times New Roman" w:hAnsi="Times New Roman" w:eastAsia="Times New Roman" w:cs="Times New Roman"/>
          <w:b/>
          <w:bCs/>
          <w:spacing w:val="6"/>
        </w:rPr>
        <w:t>4.1.16     </w:t>
      </w:r>
      <w:r>
        <w:rPr>
          <w:spacing w:val="6"/>
        </w:rPr>
        <w:t>临空外窗的窗台距室内地面的净高小于0.90</w:t>
      </w:r>
      <w:r>
        <w:rPr>
          <w:rFonts w:ascii="Times New Roman" w:hAnsi="Times New Roman" w:eastAsia="Times New Roman" w:cs="Times New Roman"/>
          <w:spacing w:val="6"/>
        </w:rPr>
        <w:t>m</w:t>
      </w:r>
      <w:r>
        <w:rPr>
          <w:rFonts w:ascii="Times New Roman" w:hAnsi="Times New Roman" w:eastAsia="Times New Roman" w:cs="Times New Roman"/>
          <w:spacing w:val="18"/>
          <w:w w:val="101"/>
        </w:rPr>
        <w:t xml:space="preserve"> </w:t>
      </w:r>
      <w:r>
        <w:rPr>
          <w:spacing w:val="6"/>
        </w:rPr>
        <w:t>时，应</w:t>
      </w:r>
      <w:r>
        <w:rPr/>
        <w:t xml:space="preserve"> </w:t>
      </w:r>
      <w:r>
        <w:rPr>
          <w:spacing w:val="1"/>
        </w:rPr>
        <w:t>配置防护设施，防护设施的高度应由室内地面或可登踏面起算，</w:t>
      </w:r>
      <w:r>
        <w:rPr>
          <w:spacing w:val="6"/>
        </w:rPr>
        <w:t xml:space="preserve"> </w:t>
      </w:r>
      <w:r>
        <w:rPr>
          <w:spacing w:val="6"/>
        </w:rPr>
        <w:t>且不应小于0.90</w:t>
      </w:r>
      <w:r>
        <w:rPr>
          <w:rFonts w:ascii="Times New Roman" w:hAnsi="Times New Roman" w:eastAsia="Times New Roman" w:cs="Times New Roman"/>
          <w:spacing w:val="6"/>
        </w:rPr>
        <w:t>m</w:t>
      </w:r>
      <w:r>
        <w:rPr>
          <w:rFonts w:ascii="Times New Roman" w:hAnsi="Times New Roman" w:eastAsia="Times New Roman" w:cs="Times New Roman"/>
          <w:spacing w:val="-24"/>
        </w:rPr>
        <w:t xml:space="preserve"> </w:t>
      </w:r>
      <w:r>
        <w:rPr>
          <w:spacing w:val="6"/>
        </w:rPr>
        <w:t>。当凸窗窗台高度小于</w:t>
      </w:r>
      <w:r>
        <w:rPr>
          <w:spacing w:val="5"/>
        </w:rPr>
        <w:t>或等于0.45</w:t>
      </w:r>
      <w:r>
        <w:rPr>
          <w:rFonts w:ascii="Times New Roman" w:hAnsi="Times New Roman" w:eastAsia="Times New Roman" w:cs="Times New Roman"/>
          <w:spacing w:val="5"/>
        </w:rPr>
        <w:t>m </w:t>
      </w:r>
      <w:r>
        <w:rPr>
          <w:spacing w:val="5"/>
        </w:rPr>
        <w:t>时，其</w:t>
      </w:r>
      <w:r>
        <w:rPr/>
        <w:t xml:space="preserve"> </w:t>
      </w:r>
      <w:r>
        <w:rPr>
          <w:spacing w:val="1"/>
        </w:rPr>
        <w:t>防护设施高度应从窗台面起算，且不应小于</w:t>
      </w:r>
      <w:r>
        <w:rPr/>
        <w:t>0.90</w:t>
      </w:r>
      <w:r>
        <w:rPr>
          <w:rFonts w:ascii="Times New Roman" w:hAnsi="Times New Roman" w:eastAsia="Times New Roman" w:cs="Times New Roman"/>
        </w:rPr>
        <w:t>m;</w:t>
      </w:r>
      <w:r>
        <w:rPr>
          <w:rFonts w:ascii="Times New Roman" w:hAnsi="Times New Roman" w:eastAsia="Times New Roman" w:cs="Times New Roman"/>
          <w:spacing w:val="23"/>
        </w:rPr>
        <w:t xml:space="preserve">  </w:t>
      </w:r>
      <w:r>
        <w:rPr/>
        <w:t>当凸窗窗台 </w:t>
      </w:r>
      <w:r>
        <w:rPr>
          <w:spacing w:val="5"/>
        </w:rPr>
        <w:t>高度大于0.45</w:t>
      </w:r>
      <w:r>
        <w:rPr>
          <w:rFonts w:ascii="Times New Roman" w:hAnsi="Times New Roman" w:eastAsia="Times New Roman" w:cs="Times New Roman"/>
          <w:spacing w:val="5"/>
        </w:rPr>
        <w:t>m </w:t>
      </w:r>
      <w:r>
        <w:rPr>
          <w:spacing w:val="5"/>
        </w:rPr>
        <w:t>时，其防护设施高度应从窗台面起算，且不应</w:t>
      </w:r>
      <w:r>
        <w:rPr>
          <w:spacing w:val="12"/>
        </w:rPr>
        <w:t xml:space="preserve"> </w:t>
      </w:r>
      <w:r>
        <w:rPr/>
        <w:t>小于0.60</w:t>
      </w:r>
      <w:r>
        <w:rPr>
          <w:rFonts w:ascii="Times New Roman" w:hAnsi="Times New Roman" w:eastAsia="Times New Roman" w:cs="Times New Roman"/>
        </w:rPr>
        <w:t>m;</w:t>
      </w:r>
      <w:r>
        <w:rPr>
          <w:rFonts w:ascii="Times New Roman" w:hAnsi="Times New Roman" w:eastAsia="Times New Roman" w:cs="Times New Roman"/>
          <w:spacing w:val="24"/>
        </w:rPr>
        <w:t xml:space="preserve">  </w:t>
      </w:r>
      <w:r>
        <w:rPr/>
        <w:t>凸窗的防护设施应贴外窗设置。</w:t>
      </w:r>
    </w:p>
    <w:p>
      <w:pPr>
        <w:pStyle w:val="BodyText"/>
        <w:ind w:right="67" w:firstLine="3"/>
        <w:spacing w:before="94" w:line="254" w:lineRule="auto"/>
        <w:rPr/>
      </w:pPr>
      <w:r>
        <w:rPr>
          <w:b/>
          <w:bCs/>
          <w:spacing w:val="9"/>
        </w:rPr>
        <w:t>4.1.17</w:t>
      </w:r>
      <w:r>
        <w:rPr>
          <w:spacing w:val="9"/>
        </w:rPr>
        <w:t xml:space="preserve">  当住宅建筑凹口的净宽与净深之比小于1:3且</w:t>
      </w:r>
      <w:r>
        <w:rPr>
          <w:spacing w:val="8"/>
        </w:rPr>
        <w:t>净宽小</w:t>
      </w:r>
      <w:r>
        <w:rPr/>
        <w:t xml:space="preserve"> </w:t>
      </w:r>
      <w:r>
        <w:rPr>
          <w:spacing w:val="-1"/>
        </w:rPr>
        <w:t>于1.20</w:t>
      </w:r>
      <w:r>
        <w:rPr>
          <w:rFonts w:ascii="Times New Roman" w:hAnsi="Times New Roman" w:eastAsia="Times New Roman" w:cs="Times New Roman"/>
          <w:spacing w:val="-1"/>
        </w:rPr>
        <w:t>m </w:t>
      </w:r>
      <w:r>
        <w:rPr>
          <w:spacing w:val="-1"/>
        </w:rPr>
        <w:t>时，卧室和起居室的外窗不应设置在凹口内。</w:t>
      </w:r>
    </w:p>
    <w:p>
      <w:pPr>
        <w:pStyle w:val="BodyText"/>
        <w:ind w:left="2113"/>
        <w:spacing w:before="188" w:line="219" w:lineRule="auto"/>
        <w:outlineLvl w:val="1"/>
        <w:rPr/>
      </w:pPr>
      <w:bookmarkStart w:name="bookmark13" w:id="18"/>
      <w:bookmarkEnd w:id="18"/>
      <w:r>
        <w:rPr>
          <w:b/>
          <w:bCs/>
          <w:spacing w:val="-6"/>
        </w:rPr>
        <w:t>4.2</w:t>
      </w:r>
      <w:r>
        <w:rPr>
          <w:spacing w:val="-6"/>
        </w:rPr>
        <w:t xml:space="preserve">  </w:t>
      </w:r>
      <w:r>
        <w:rPr>
          <w:b/>
          <w:bCs/>
          <w:spacing w:val="-6"/>
        </w:rPr>
        <w:t>公</w:t>
      </w:r>
      <w:r>
        <w:rPr>
          <w:spacing w:val="-6"/>
        </w:rPr>
        <w:t xml:space="preserve"> </w:t>
      </w:r>
      <w:r>
        <w:rPr>
          <w:b/>
          <w:bCs/>
          <w:spacing w:val="-6"/>
        </w:rPr>
        <w:t>共</w:t>
      </w:r>
      <w:r>
        <w:rPr>
          <w:spacing w:val="16"/>
        </w:rPr>
        <w:t xml:space="preserve"> </w:t>
      </w:r>
      <w:r>
        <w:rPr>
          <w:b/>
          <w:bCs/>
          <w:spacing w:val="-6"/>
        </w:rPr>
        <w:t>空</w:t>
      </w:r>
      <w:r>
        <w:rPr>
          <w:spacing w:val="26"/>
        </w:rPr>
        <w:t xml:space="preserve"> </w:t>
      </w:r>
      <w:r>
        <w:rPr>
          <w:b/>
          <w:bCs/>
          <w:spacing w:val="-6"/>
        </w:rPr>
        <w:t>间</w:t>
      </w:r>
    </w:p>
    <w:p>
      <w:pPr>
        <w:pStyle w:val="BodyText"/>
        <w:ind w:left="3"/>
        <w:spacing w:before="244" w:line="219" w:lineRule="auto"/>
        <w:rPr/>
      </w:pPr>
      <w:r>
        <w:rPr>
          <w:b/>
          <w:bCs/>
          <w:spacing w:val="-4"/>
        </w:rPr>
        <w:t>4.2.1</w:t>
      </w:r>
      <w:r>
        <w:rPr>
          <w:spacing w:val="-4"/>
        </w:rPr>
        <w:t xml:space="preserve">  设有公共走廊时，应符合下列规定：</w:t>
      </w:r>
    </w:p>
    <w:p>
      <w:pPr>
        <w:pStyle w:val="BodyText"/>
        <w:ind w:left="413"/>
        <w:spacing w:before="58" w:line="216" w:lineRule="auto"/>
        <w:rPr/>
      </w:pPr>
      <w:r>
        <w:rPr>
          <w:b/>
          <w:bCs/>
          <w:spacing w:val="4"/>
        </w:rPr>
        <w:t>1</w:t>
      </w:r>
      <w:r>
        <w:rPr>
          <w:spacing w:val="107"/>
        </w:rPr>
        <w:t xml:space="preserve"> </w:t>
      </w:r>
      <w:r>
        <w:rPr>
          <w:spacing w:val="4"/>
        </w:rPr>
        <w:t>走廊净宽不应小于1.20m,</w:t>
      </w:r>
      <w:r>
        <w:rPr>
          <w:spacing w:val="37"/>
        </w:rPr>
        <w:t xml:space="preserve"> </w:t>
      </w:r>
      <w:r>
        <w:rPr>
          <w:spacing w:val="4"/>
        </w:rPr>
        <w:t>净高不应低于2.20m;</w:t>
      </w:r>
    </w:p>
    <w:p>
      <w:pPr>
        <w:pStyle w:val="BodyText"/>
        <w:ind w:left="413"/>
        <w:spacing w:before="87" w:line="220" w:lineRule="auto"/>
        <w:rPr/>
      </w:pPr>
      <w:r>
        <w:rPr>
          <w:b/>
          <w:bCs/>
          <w:spacing w:val="-3"/>
        </w:rPr>
        <w:t>2</w:t>
      </w:r>
      <w:r>
        <w:rPr>
          <w:spacing w:val="-3"/>
        </w:rPr>
        <w:t xml:space="preserve">  当设置封闭外廊时，应设可开启的窗扇。</w:t>
      </w:r>
    </w:p>
    <w:p>
      <w:pPr>
        <w:pStyle w:val="BodyText"/>
        <w:spacing w:before="60" w:line="219" w:lineRule="auto"/>
        <w:rPr/>
      </w:pPr>
      <w:r>
        <w:rPr>
          <w:rFonts w:ascii="Arial" w:hAnsi="Arial" w:eastAsia="Arial" w:cs="Arial"/>
          <w:b/>
          <w:bCs/>
          <w:spacing w:val="-2"/>
        </w:rPr>
        <w:t>4.2.2</w:t>
      </w:r>
      <w:r>
        <w:rPr>
          <w:rFonts w:ascii="Arial" w:hAnsi="Arial" w:eastAsia="Arial" w:cs="Arial"/>
          <w:b/>
          <w:bCs/>
          <w:spacing w:val="11"/>
        </w:rPr>
        <w:t xml:space="preserve">    </w:t>
      </w:r>
      <w:r>
        <w:rPr>
          <w:spacing w:val="-2"/>
        </w:rPr>
        <w:t>公共楼梯的设置应符合下列规定：</w:t>
      </w:r>
    </w:p>
    <w:p>
      <w:pPr>
        <w:pStyle w:val="BodyText"/>
        <w:ind w:right="96" w:firstLine="413"/>
        <w:spacing w:before="61" w:line="262" w:lineRule="auto"/>
        <w:rPr/>
      </w:pPr>
      <w:r>
        <w:rPr>
          <w:b/>
          <w:bCs/>
          <w:spacing w:val="12"/>
        </w:rPr>
        <w:t>1</w:t>
      </w:r>
      <w:r>
        <w:rPr>
          <w:spacing w:val="12"/>
        </w:rPr>
        <w:t xml:space="preserve">  当最高入户层楼面距室外设计地面的高度不超过15m </w:t>
      </w:r>
      <w:r>
        <w:rPr/>
        <w:t>时，公共楼梯一边设有栏杆的，其梯段净宽不应小于1.00</w:t>
      </w:r>
      <w:r>
        <w:rPr>
          <w:rFonts w:ascii="Times New Roman" w:hAnsi="Times New Roman" w:eastAsia="Times New Roman" w:cs="Times New Roman"/>
        </w:rPr>
        <w:t>m;  </w:t>
      </w:r>
      <w:r>
        <w:rPr/>
        <w:t>公</w:t>
      </w:r>
      <w:r>
        <w:rPr>
          <w:spacing w:val="17"/>
        </w:rPr>
        <w:t xml:space="preserve"> </w:t>
      </w:r>
      <w:r>
        <w:rPr>
          <w:spacing w:val="-1"/>
        </w:rPr>
        <w:t>共楼梯两侧均为墙体的，其梯段净宽不应小于1.10</w:t>
      </w:r>
      <w:r>
        <w:rPr>
          <w:rFonts w:ascii="Times New Roman" w:hAnsi="Times New Roman" w:eastAsia="Times New Roman" w:cs="Times New Roman"/>
          <w:spacing w:val="-1"/>
        </w:rPr>
        <w:t>m</w:t>
      </w:r>
      <w:r>
        <w:rPr>
          <w:rFonts w:ascii="Times New Roman" w:hAnsi="Times New Roman" w:eastAsia="Times New Roman" w:cs="Times New Roman"/>
          <w:spacing w:val="-24"/>
        </w:rPr>
        <w:t xml:space="preserve"> </w:t>
      </w:r>
      <w:r>
        <w:rPr>
          <w:spacing w:val="-2"/>
        </w:rPr>
        <w:t>。当最高入</w:t>
      </w:r>
      <w:r>
        <w:rPr/>
        <w:t xml:space="preserve"> </w:t>
      </w:r>
      <w:r>
        <w:rPr>
          <w:spacing w:val="5"/>
        </w:rPr>
        <w:t>户层楼面距室外设计地面的高度超过15</w:t>
      </w:r>
      <w:r>
        <w:rPr>
          <w:rFonts w:ascii="Times New Roman" w:hAnsi="Times New Roman" w:eastAsia="Times New Roman" w:cs="Times New Roman"/>
          <w:spacing w:val="5"/>
        </w:rPr>
        <w:t>m </w:t>
      </w:r>
      <w:r>
        <w:rPr>
          <w:spacing w:val="5"/>
        </w:rPr>
        <w:t>时，公共楼梯的梯段</w:t>
      </w:r>
      <w:r>
        <w:rPr>
          <w:spacing w:val="16"/>
        </w:rPr>
        <w:t xml:space="preserve"> </w:t>
      </w:r>
      <w:r>
        <w:rPr>
          <w:spacing w:val="3"/>
        </w:rPr>
        <w:t>净宽不应小于1.10</w:t>
      </w:r>
      <w:r>
        <w:rPr>
          <w:rFonts w:ascii="Times New Roman" w:hAnsi="Times New Roman" w:eastAsia="Times New Roman" w:cs="Times New Roman"/>
          <w:spacing w:val="3"/>
        </w:rPr>
        <w:t>m</w:t>
      </w:r>
      <w:r>
        <w:rPr>
          <w:spacing w:val="3"/>
        </w:rPr>
        <w:t>。</w:t>
      </w:r>
    </w:p>
    <w:p>
      <w:pPr>
        <w:pStyle w:val="BodyText"/>
        <w:ind w:right="75" w:firstLine="413"/>
        <w:spacing w:before="65" w:line="259" w:lineRule="auto"/>
        <w:rPr/>
      </w:pPr>
      <w:r>
        <w:rPr>
          <w:b/>
          <w:bCs/>
          <w:spacing w:val="5"/>
        </w:rPr>
        <w:t>2</w:t>
      </w:r>
      <w:r>
        <w:rPr>
          <w:spacing w:val="97"/>
        </w:rPr>
        <w:t xml:space="preserve"> </w:t>
      </w:r>
      <w:r>
        <w:rPr>
          <w:spacing w:val="5"/>
        </w:rPr>
        <w:t>公共楼梯踏步宽度不应小丁0.26m,</w:t>
      </w:r>
      <w:r>
        <w:rPr>
          <w:spacing w:val="48"/>
        </w:rPr>
        <w:t xml:space="preserve"> </w:t>
      </w:r>
      <w:r>
        <w:rPr>
          <w:spacing w:val="5"/>
        </w:rPr>
        <w:t>踏步高度不应大丁</w:t>
      </w:r>
      <w:r>
        <w:rPr/>
        <w:t xml:space="preserve"> </w:t>
      </w:r>
      <w:r>
        <w:rPr>
          <w:spacing w:val="4"/>
        </w:rPr>
        <w:t>0.175m,</w:t>
      </w:r>
      <w:r>
        <w:rPr>
          <w:spacing w:val="68"/>
        </w:rPr>
        <w:t xml:space="preserve"> </w:t>
      </w:r>
      <w:r>
        <w:rPr>
          <w:spacing w:val="4"/>
        </w:rPr>
        <w:t>且同一个楼梯梯段踏步的宽度、高度均应一致；每个</w:t>
      </w:r>
      <w:r>
        <w:rPr/>
        <w:t xml:space="preserve"> </w:t>
      </w:r>
      <w:r>
        <w:rPr>
          <w:spacing w:val="-2"/>
        </w:rPr>
        <w:t>梯段的首步和末步踏步均应设明显标志。</w:t>
      </w:r>
    </w:p>
    <w:p>
      <w:pPr>
        <w:pStyle w:val="BodyText"/>
        <w:ind w:left="413"/>
        <w:spacing w:before="61" w:line="219" w:lineRule="auto"/>
        <w:rPr/>
      </w:pPr>
      <w:r>
        <w:rPr>
          <w:b/>
          <w:bCs/>
          <w:spacing w:val="4"/>
        </w:rPr>
        <w:t>3</w:t>
      </w:r>
      <w:r>
        <w:rPr>
          <w:spacing w:val="115"/>
        </w:rPr>
        <w:t xml:space="preserve"> </w:t>
      </w:r>
      <w:r>
        <w:rPr>
          <w:spacing w:val="4"/>
        </w:rPr>
        <w:t>楼梯扶手高度不应小于0.90m;</w:t>
      </w:r>
      <w:r>
        <w:rPr>
          <w:spacing w:val="58"/>
        </w:rPr>
        <w:t xml:space="preserve"> </w:t>
      </w:r>
      <w:r>
        <w:rPr>
          <w:spacing w:val="4"/>
        </w:rPr>
        <w:t>当楼梯水平段栏杆长度</w:t>
      </w:r>
    </w:p>
    <w:p>
      <w:pPr>
        <w:spacing w:line="219" w:lineRule="auto"/>
        <w:sectPr>
          <w:footerReference w:type="default" r:id="rId14"/>
          <w:pgSz w:w="7940" w:h="11500"/>
          <w:pgMar w:top="843" w:right="975" w:bottom="1009" w:left="1029" w:header="0" w:footer="865" w:gutter="0"/>
        </w:sectPr>
        <w:rPr/>
      </w:pPr>
    </w:p>
    <w:p>
      <w:pPr>
        <w:pStyle w:val="BodyText"/>
        <w:ind w:right="96"/>
        <w:spacing w:before="43" w:line="278" w:lineRule="auto"/>
        <w:rPr/>
      </w:pPr>
      <w:bookmarkStart w:name="bookmark30" w:id="19"/>
      <w:bookmarkEnd w:id="19"/>
      <w:r>
        <w:rPr>
          <w:spacing w:val="7"/>
        </w:rPr>
        <w:t>大于0.50</w:t>
      </w:r>
      <w:r>
        <w:rPr>
          <w:rFonts w:ascii="Times New Roman" w:hAnsi="Times New Roman" w:eastAsia="Times New Roman" w:cs="Times New Roman"/>
          <w:spacing w:val="7"/>
        </w:rPr>
        <w:t>m </w:t>
      </w:r>
      <w:r>
        <w:rPr>
          <w:spacing w:val="7"/>
        </w:rPr>
        <w:t>时，其水平段扶手高度不应小于1.20</w:t>
      </w:r>
      <w:r>
        <w:rPr>
          <w:rFonts w:ascii="Times New Roman" w:hAnsi="Times New Roman" w:eastAsia="Times New Roman" w:cs="Times New Roman"/>
          <w:spacing w:val="7"/>
        </w:rPr>
        <w:t>m</w:t>
      </w:r>
      <w:r>
        <w:rPr>
          <w:rFonts w:ascii="Times New Roman" w:hAnsi="Times New Roman" w:eastAsia="Times New Roman" w:cs="Times New Roman"/>
          <w:spacing w:val="6"/>
        </w:rPr>
        <w:t>;</w:t>
      </w:r>
      <w:r>
        <w:rPr>
          <w:rFonts w:ascii="Times New Roman" w:hAnsi="Times New Roman" w:eastAsia="Times New Roman" w:cs="Times New Roman"/>
          <w:spacing w:val="17"/>
          <w:w w:val="101"/>
        </w:rPr>
        <w:t xml:space="preserve">  </w:t>
      </w:r>
      <w:r>
        <w:rPr>
          <w:spacing w:val="6"/>
        </w:rPr>
        <w:t>楼梯栏杆</w:t>
      </w:r>
      <w:r>
        <w:rPr/>
        <w:t xml:space="preserve"> </w:t>
      </w:r>
      <w:r>
        <w:rPr>
          <w:spacing w:val="1"/>
        </w:rPr>
        <w:t>竖向杆件间净距不应大于0.11</w:t>
      </w:r>
      <w:r>
        <w:rPr>
          <w:rFonts w:ascii="Times New Roman" w:hAnsi="Times New Roman" w:eastAsia="Times New Roman" w:cs="Times New Roman"/>
          <w:spacing w:val="1"/>
        </w:rPr>
        <w:t>m</w:t>
      </w:r>
      <w:r>
        <w:rPr>
          <w:spacing w:val="1"/>
        </w:rPr>
        <w:t>。</w:t>
      </w:r>
    </w:p>
    <w:p>
      <w:pPr>
        <w:pStyle w:val="BodyText"/>
        <w:ind w:right="95" w:firstLine="403"/>
        <w:spacing w:line="281" w:lineRule="auto"/>
        <w:rPr/>
      </w:pPr>
      <w:r>
        <w:rPr>
          <w:b/>
          <w:bCs/>
          <w:spacing w:val="3"/>
        </w:rPr>
        <w:t>4</w:t>
      </w:r>
      <w:r>
        <w:rPr>
          <w:spacing w:val="98"/>
        </w:rPr>
        <w:t xml:space="preserve"> </w:t>
      </w:r>
      <w:r>
        <w:rPr>
          <w:spacing w:val="3"/>
        </w:rPr>
        <w:t>楼梯井净宽大于0.11m 时，必须采取防止人员坠落和儿</w:t>
      </w:r>
      <w:r>
        <w:rPr/>
        <w:t xml:space="preserve"> </w:t>
      </w:r>
      <w:r>
        <w:rPr>
          <w:spacing w:val="-5"/>
        </w:rPr>
        <w:t>童攀登的措施。</w:t>
      </w:r>
    </w:p>
    <w:p>
      <w:pPr>
        <w:pStyle w:val="BodyText"/>
        <w:ind w:right="90"/>
        <w:spacing w:before="2" w:line="249" w:lineRule="auto"/>
        <w:rPr/>
      </w:pPr>
      <w:r>
        <w:rPr>
          <w:spacing w:val="3"/>
        </w:rPr>
        <w:t>4.2.3</w:t>
      </w:r>
      <w:r>
        <w:rPr>
          <w:spacing w:val="87"/>
        </w:rPr>
        <w:t xml:space="preserve"> </w:t>
      </w:r>
      <w:r>
        <w:rPr>
          <w:spacing w:val="3"/>
        </w:rPr>
        <w:t>电梯井道及电梯机房、水泵机房等产生噪声或振动的房</w:t>
      </w:r>
      <w:r>
        <w:rPr/>
        <w:t xml:space="preserve"> </w:t>
      </w:r>
      <w:r>
        <w:rPr>
          <w:spacing w:val="-5"/>
        </w:rPr>
        <w:t>间不应紧邻卧室布置。</w:t>
      </w:r>
    </w:p>
    <w:p>
      <w:pPr>
        <w:pStyle w:val="BodyText"/>
        <w:spacing w:before="72" w:line="219" w:lineRule="auto"/>
        <w:rPr/>
      </w:pPr>
      <w:r>
        <w:rPr>
          <w:rFonts w:ascii="Times New Roman" w:hAnsi="Times New Roman" w:eastAsia="Times New Roman" w:cs="Times New Roman"/>
        </w:rPr>
        <w:t>4.2.4     </w:t>
      </w:r>
      <w:r>
        <w:rPr/>
        <w:t>新建住宅建筑电梯设置应符合下列规定：</w:t>
      </w:r>
    </w:p>
    <w:p>
      <w:pPr>
        <w:pStyle w:val="BodyText"/>
        <w:ind w:right="95" w:firstLine="403"/>
        <w:spacing w:before="61" w:line="255" w:lineRule="auto"/>
        <w:rPr/>
      </w:pPr>
      <w:r>
        <w:rPr>
          <w:b/>
          <w:bCs/>
          <w:spacing w:val="3"/>
        </w:rPr>
        <w:t>1</w:t>
      </w:r>
      <w:r>
        <w:rPr>
          <w:spacing w:val="3"/>
        </w:rPr>
        <w:t xml:space="preserve">  最高入户层为四层及四层以上，或最高入户层楼</w:t>
      </w:r>
      <w:r>
        <w:rPr>
          <w:spacing w:val="2"/>
        </w:rPr>
        <w:t>面距室</w:t>
      </w:r>
      <w:r>
        <w:rPr/>
        <w:t xml:space="preserve"> </w:t>
      </w:r>
      <w:r>
        <w:rPr>
          <w:spacing w:val="2"/>
        </w:rPr>
        <w:t>外设计地面高度超过9</w:t>
      </w:r>
      <w:r>
        <w:rPr>
          <w:rFonts w:ascii="Times New Roman" w:hAnsi="Times New Roman" w:eastAsia="Times New Roman" w:cs="Times New Roman"/>
          <w:spacing w:val="2"/>
        </w:rPr>
        <w:t>m </w:t>
      </w:r>
      <w:r>
        <w:rPr>
          <w:spacing w:val="2"/>
        </w:rPr>
        <w:t>的住宅建筑，每个住宅单元应至</w:t>
      </w:r>
      <w:r>
        <w:rPr>
          <w:spacing w:val="1"/>
        </w:rPr>
        <w:t>少设置</w:t>
      </w:r>
      <w:r>
        <w:rPr/>
        <w:t xml:space="preserve"> </w:t>
      </w:r>
      <w:r>
        <w:rPr>
          <w:spacing w:val="3"/>
        </w:rPr>
        <w:t>1台电梯。</w:t>
      </w:r>
    </w:p>
    <w:p>
      <w:pPr>
        <w:pStyle w:val="BodyText"/>
        <w:ind w:right="74" w:firstLine="403"/>
        <w:spacing w:before="60" w:line="255" w:lineRule="auto"/>
        <w:rPr/>
      </w:pPr>
      <w:r>
        <w:rPr>
          <w:b/>
          <w:bCs/>
          <w:spacing w:val="3"/>
        </w:rPr>
        <w:t>2</w:t>
      </w:r>
      <w:r>
        <w:rPr>
          <w:spacing w:val="1"/>
        </w:rPr>
        <w:t xml:space="preserve">  </w:t>
      </w:r>
      <w:r>
        <w:rPr>
          <w:spacing w:val="3"/>
        </w:rPr>
        <w:t>最高入户层为十二层及十二层以上，或最高入户层楼面</w:t>
      </w:r>
      <w:r>
        <w:rPr/>
        <w:t xml:space="preserve"> </w:t>
      </w:r>
      <w:r>
        <w:rPr>
          <w:spacing w:val="6"/>
        </w:rPr>
        <w:t>距室外设计地面高度超过33</w:t>
      </w:r>
      <w:r>
        <w:rPr>
          <w:rFonts w:ascii="Times New Roman" w:hAnsi="Times New Roman" w:eastAsia="Times New Roman" w:cs="Times New Roman"/>
          <w:spacing w:val="6"/>
        </w:rPr>
        <w:t>m </w:t>
      </w:r>
      <w:r>
        <w:rPr>
          <w:spacing w:val="6"/>
        </w:rPr>
        <w:t>的住宅建筑，每个住宅单元应至</w:t>
      </w:r>
      <w:r>
        <w:rPr>
          <w:spacing w:val="9"/>
        </w:rPr>
        <w:t xml:space="preserve"> </w:t>
      </w:r>
      <w:r>
        <w:rPr>
          <w:spacing w:val="7"/>
        </w:rPr>
        <w:t>少设置2台电梯。</w:t>
      </w:r>
    </w:p>
    <w:p>
      <w:pPr>
        <w:pStyle w:val="BodyText"/>
        <w:ind w:firstLine="403"/>
        <w:spacing w:before="66" w:line="255" w:lineRule="auto"/>
        <w:rPr/>
      </w:pPr>
      <w:r>
        <w:rPr>
          <w:b/>
          <w:bCs/>
          <w:spacing w:val="7"/>
        </w:rPr>
        <w:t>3</w:t>
      </w:r>
      <w:r>
        <w:rPr>
          <w:spacing w:val="115"/>
        </w:rPr>
        <w:t xml:space="preserve"> </w:t>
      </w:r>
      <w:r>
        <w:rPr>
          <w:spacing w:val="7"/>
        </w:rPr>
        <w:t>设有电梯的住宅单元，应至少有1台电梯满足下列尺寸</w:t>
      </w:r>
      <w:r>
        <w:rPr/>
        <w:t xml:space="preserve">  </w:t>
      </w:r>
      <w:r>
        <w:rPr>
          <w:spacing w:val="1"/>
        </w:rPr>
        <w:t>要求：轿厢门净宽不应小于0.90</w:t>
      </w:r>
      <w:r>
        <w:rPr>
          <w:rFonts w:ascii="Times New Roman" w:hAnsi="Times New Roman" w:eastAsia="Times New Roman" w:cs="Times New Roman"/>
          <w:spacing w:val="1"/>
        </w:rPr>
        <w:t>m;</w:t>
      </w:r>
      <w:r>
        <w:rPr>
          <w:rFonts w:ascii="Times New Roman" w:hAnsi="Times New Roman" w:eastAsia="Times New Roman" w:cs="Times New Roman"/>
          <w:spacing w:val="21"/>
        </w:rPr>
        <w:t xml:space="preserve">  </w:t>
      </w:r>
      <w:r>
        <w:rPr>
          <w:spacing w:val="1"/>
        </w:rPr>
        <w:t>采用宽轿厢时，轿厢长边尺</w:t>
      </w:r>
      <w:r>
        <w:rPr/>
        <w:t xml:space="preserve"> </w:t>
      </w:r>
      <w:r>
        <w:rPr>
          <w:spacing w:val="6"/>
        </w:rPr>
        <w:t>寸不应小于1.60</w:t>
      </w:r>
      <w:r>
        <w:rPr>
          <w:rFonts w:ascii="Times New Roman" w:hAnsi="Times New Roman" w:eastAsia="Times New Roman" w:cs="Times New Roman"/>
          <w:spacing w:val="6"/>
        </w:rPr>
        <w:t>m,</w:t>
      </w:r>
      <w:r>
        <w:rPr>
          <w:rFonts w:ascii="Times New Roman" w:hAnsi="Times New Roman" w:eastAsia="Times New Roman" w:cs="Times New Roman"/>
          <w:spacing w:val="24"/>
        </w:rPr>
        <w:t xml:space="preserve">  </w:t>
      </w:r>
      <w:r>
        <w:rPr>
          <w:spacing w:val="6"/>
        </w:rPr>
        <w:t>短边尺寸不应小于1.50</w:t>
      </w:r>
      <w:r>
        <w:rPr>
          <w:rFonts w:ascii="Times New Roman" w:hAnsi="Times New Roman" w:eastAsia="Times New Roman" w:cs="Times New Roman"/>
          <w:spacing w:val="6"/>
        </w:rPr>
        <w:t>m,  </w:t>
      </w:r>
      <w:r>
        <w:rPr>
          <w:spacing w:val="6"/>
        </w:rPr>
        <w:t>采用深轿厢时，</w:t>
      </w:r>
      <w:r>
        <w:rPr/>
        <w:t xml:space="preserve"> </w:t>
      </w:r>
      <w:r>
        <w:rPr>
          <w:spacing w:val="3"/>
        </w:rPr>
        <w:t>轿厢宽度不应小于1.10</w:t>
      </w:r>
      <w:r>
        <w:rPr>
          <w:rFonts w:ascii="Times New Roman" w:hAnsi="Times New Roman" w:eastAsia="Times New Roman" w:cs="Times New Roman"/>
          <w:spacing w:val="3"/>
        </w:rPr>
        <w:t>m,</w:t>
      </w:r>
      <w:r>
        <w:rPr>
          <w:rFonts w:ascii="Times New Roman" w:hAnsi="Times New Roman" w:eastAsia="Times New Roman" w:cs="Times New Roman"/>
          <w:spacing w:val="29"/>
        </w:rPr>
        <w:t xml:space="preserve">  </w:t>
      </w:r>
      <w:r>
        <w:rPr>
          <w:spacing w:val="3"/>
        </w:rPr>
        <w:t>深度不应小于2.10</w:t>
      </w:r>
      <w:r>
        <w:rPr>
          <w:rFonts w:ascii="Times New Roman" w:hAnsi="Times New Roman" w:eastAsia="Times New Roman" w:cs="Times New Roman"/>
          <w:spacing w:val="3"/>
        </w:rPr>
        <w:t>m</w:t>
      </w:r>
      <w:r>
        <w:rPr>
          <w:spacing w:val="3"/>
        </w:rPr>
        <w:t>。</w:t>
      </w:r>
    </w:p>
    <w:p>
      <w:pPr>
        <w:pStyle w:val="BodyText"/>
        <w:ind w:left="403"/>
        <w:spacing w:before="93" w:line="219" w:lineRule="auto"/>
        <w:rPr/>
      </w:pPr>
      <w:r>
        <w:rPr>
          <w:b/>
          <w:bCs/>
          <w:spacing w:val="23"/>
        </w:rPr>
        <w:t>4</w:t>
      </w:r>
      <w:r>
        <w:rPr>
          <w:spacing w:val="23"/>
        </w:rPr>
        <w:t xml:space="preserve">  电梯紧急呼叫按钮的中心距地面高度应为0.85m~</w:t>
      </w:r>
    </w:p>
    <w:p>
      <w:pPr>
        <w:pStyle w:val="BodyText"/>
        <w:spacing w:before="125" w:line="180" w:lineRule="auto"/>
        <w:rPr/>
      </w:pPr>
      <w:r>
        <w:rPr>
          <w:rFonts w:ascii="Times New Roman" w:hAnsi="Times New Roman" w:eastAsia="Times New Roman" w:cs="Times New Roman"/>
          <w:spacing w:val="-5"/>
        </w:rPr>
        <w:t>1.10m</w:t>
      </w:r>
      <w:r>
        <w:rPr>
          <w:spacing w:val="-5"/>
        </w:rPr>
        <w:t>。</w:t>
      </w:r>
    </w:p>
    <w:p>
      <w:pPr>
        <w:pStyle w:val="BodyText"/>
        <w:ind w:right="92"/>
        <w:spacing w:before="61" w:line="256" w:lineRule="auto"/>
        <w:rPr/>
      </w:pPr>
      <w:r>
        <w:rPr>
          <w:spacing w:val="3"/>
        </w:rPr>
        <w:t>4.2.5</w:t>
      </w:r>
      <w:r>
        <w:rPr>
          <w:spacing w:val="87"/>
        </w:rPr>
        <w:t xml:space="preserve"> </w:t>
      </w:r>
      <w:r>
        <w:rPr>
          <w:spacing w:val="3"/>
        </w:rPr>
        <w:t>既有住宅建筑加装电梯，不应影响建筑结构安全</w:t>
      </w:r>
      <w:r>
        <w:rPr>
          <w:spacing w:val="2"/>
        </w:rPr>
        <w:t>性和正</w:t>
      </w:r>
      <w:r>
        <w:rPr/>
        <w:t xml:space="preserve"> </w:t>
      </w:r>
      <w:r>
        <w:rPr>
          <w:spacing w:val="2"/>
        </w:rPr>
        <w:t>常使用功能。加装电梯的载重量不应小于320</w:t>
      </w:r>
      <w:r>
        <w:rPr>
          <w:rFonts w:ascii="Times New Roman" w:hAnsi="Times New Roman" w:eastAsia="Times New Roman" w:cs="Times New Roman"/>
        </w:rPr>
        <w:t>kg</w:t>
      </w:r>
      <w:r>
        <w:rPr>
          <w:rFonts w:ascii="Times New Roman" w:hAnsi="Times New Roman" w:eastAsia="Times New Roman" w:cs="Times New Roman"/>
          <w:spacing w:val="2"/>
        </w:rPr>
        <w:t>,</w:t>
      </w:r>
      <w:r>
        <w:rPr>
          <w:rFonts w:ascii="Times New Roman" w:hAnsi="Times New Roman" w:eastAsia="Times New Roman" w:cs="Times New Roman"/>
          <w:spacing w:val="3"/>
        </w:rPr>
        <w:t xml:space="preserve">   </w:t>
      </w:r>
      <w:r>
        <w:rPr>
          <w:spacing w:val="2"/>
        </w:rPr>
        <w:t>轿厢门净宽不</w:t>
      </w:r>
      <w:r>
        <w:rPr/>
        <w:t xml:space="preserve"> </w:t>
      </w:r>
      <w:r>
        <w:rPr>
          <w:spacing w:val="4"/>
        </w:rPr>
        <w:t>应小于0.80</w:t>
      </w:r>
      <w:r>
        <w:rPr>
          <w:rFonts w:ascii="Times New Roman" w:hAnsi="Times New Roman" w:eastAsia="Times New Roman" w:cs="Times New Roman"/>
          <w:spacing w:val="4"/>
        </w:rPr>
        <w:t>m</w:t>
      </w:r>
      <w:r>
        <w:rPr>
          <w:spacing w:val="4"/>
        </w:rPr>
        <w:t>。</w:t>
      </w:r>
    </w:p>
    <w:p>
      <w:pPr>
        <w:pStyle w:val="BodyText"/>
        <w:spacing w:before="67" w:line="255" w:lineRule="auto"/>
        <w:rPr/>
      </w:pPr>
      <w:r>
        <w:rPr>
          <w:spacing w:val="3"/>
        </w:rPr>
        <w:t>4.2.6</w:t>
      </w:r>
      <w:r>
        <w:rPr>
          <w:spacing w:val="87"/>
        </w:rPr>
        <w:t xml:space="preserve"> </w:t>
      </w:r>
      <w:r>
        <w:rPr>
          <w:spacing w:val="3"/>
        </w:rPr>
        <w:t>电梯井应独立设置，且不应敷设与电梯无关的电</w:t>
      </w:r>
      <w:r>
        <w:rPr>
          <w:spacing w:val="2"/>
        </w:rPr>
        <w:t>缆、电</w:t>
      </w:r>
      <w:r>
        <w:rPr/>
        <w:t xml:space="preserve">  </w:t>
      </w:r>
      <w:r>
        <w:rPr>
          <w:spacing w:val="2"/>
        </w:rPr>
        <w:t>线等。电梯井井壁上除开设电梯门洞、检修门洞和通气孔</w:t>
      </w:r>
      <w:r>
        <w:rPr>
          <w:spacing w:val="1"/>
        </w:rPr>
        <w:t>洞外，</w:t>
      </w:r>
      <w:r>
        <w:rPr/>
        <w:t xml:space="preserve"> </w:t>
      </w:r>
      <w:r>
        <w:rPr>
          <w:spacing w:val="-5"/>
        </w:rPr>
        <w:t>不应开设其他洞口。</w:t>
      </w:r>
    </w:p>
    <w:p>
      <w:pPr>
        <w:pStyle w:val="BodyText"/>
        <w:spacing w:before="89" w:line="219" w:lineRule="auto"/>
        <w:rPr/>
      </w:pPr>
      <w:r>
        <w:rPr>
          <w:rFonts w:ascii="Times New Roman" w:hAnsi="Times New Roman" w:eastAsia="Times New Roman" w:cs="Times New Roman"/>
          <w:spacing w:val="-2"/>
        </w:rPr>
        <w:t>4.2.7</w:t>
      </w:r>
      <w:r>
        <w:rPr>
          <w:rFonts w:ascii="Times New Roman" w:hAnsi="Times New Roman" w:eastAsia="Times New Roman" w:cs="Times New Roman"/>
          <w:spacing w:val="8"/>
        </w:rPr>
        <w:t xml:space="preserve">     </w:t>
      </w:r>
      <w:r>
        <w:rPr>
          <w:spacing w:val="-2"/>
        </w:rPr>
        <w:t>公共出入口设置应符合下列规定：</w:t>
      </w:r>
    </w:p>
    <w:p>
      <w:pPr>
        <w:pStyle w:val="BodyText"/>
        <w:ind w:left="403"/>
        <w:spacing w:before="41" w:line="219" w:lineRule="auto"/>
        <w:rPr/>
      </w:pPr>
      <w:r>
        <w:rPr>
          <w:b/>
          <w:bCs/>
          <w:spacing w:val="2"/>
        </w:rPr>
        <w:t>1</w:t>
      </w:r>
      <w:r>
        <w:rPr>
          <w:spacing w:val="2"/>
        </w:rPr>
        <w:t xml:space="preserve">  每个住宅单元至少应有1个无障碍公共出入口。</w:t>
      </w:r>
    </w:p>
    <w:p>
      <w:pPr>
        <w:pStyle w:val="BodyText"/>
        <w:ind w:right="94" w:firstLine="403"/>
        <w:spacing w:before="71" w:line="251" w:lineRule="auto"/>
        <w:rPr/>
      </w:pPr>
      <w:r>
        <w:rPr>
          <w:b/>
          <w:bCs/>
          <w:spacing w:val="4"/>
        </w:rPr>
        <w:t>2</w:t>
      </w:r>
      <w:r>
        <w:rPr>
          <w:spacing w:val="1"/>
        </w:rPr>
        <w:t xml:space="preserve">  </w:t>
      </w:r>
      <w:r>
        <w:rPr>
          <w:spacing w:val="4"/>
        </w:rPr>
        <w:t>公共出入口的外门通行净宽不应小于1.10m。</w:t>
      </w:r>
      <w:r>
        <w:rPr>
          <w:spacing w:val="-27"/>
        </w:rPr>
        <w:t xml:space="preserve"> </w:t>
      </w:r>
      <w:r>
        <w:rPr>
          <w:spacing w:val="3"/>
        </w:rPr>
        <w:t>当外门为</w:t>
      </w:r>
      <w:r>
        <w:rPr/>
        <w:t xml:space="preserve"> </w:t>
      </w:r>
      <w:r>
        <w:rPr>
          <w:spacing w:val="5"/>
        </w:rPr>
        <w:t>双扇门时，至少应有1扇门的通行净宽不小于0.80</w:t>
      </w:r>
      <w:r>
        <w:rPr>
          <w:rFonts w:ascii="Times New Roman" w:hAnsi="Times New Roman" w:eastAsia="Times New Roman" w:cs="Times New Roman"/>
          <w:spacing w:val="5"/>
        </w:rPr>
        <w:t>m</w:t>
      </w:r>
      <w:r>
        <w:rPr>
          <w:spacing w:val="5"/>
        </w:rPr>
        <w:t>。</w:t>
      </w:r>
    </w:p>
    <w:p>
      <w:pPr>
        <w:pStyle w:val="BodyText"/>
        <w:ind w:left="403"/>
        <w:spacing w:before="69" w:line="219" w:lineRule="auto"/>
        <w:rPr/>
      </w:pPr>
      <w:r>
        <w:rPr>
          <w:b/>
          <w:bCs/>
          <w:spacing w:val="7"/>
        </w:rPr>
        <w:t>3</w:t>
      </w:r>
      <w:r>
        <w:rPr>
          <w:spacing w:val="112"/>
        </w:rPr>
        <w:t xml:space="preserve"> </w:t>
      </w:r>
      <w:r>
        <w:rPr>
          <w:spacing w:val="7"/>
        </w:rPr>
        <w:t>除平坡出入口外，公共出入口平台的净深度(从门扇开</w:t>
      </w:r>
    </w:p>
    <w:p>
      <w:pPr>
        <w:spacing w:line="219" w:lineRule="auto"/>
        <w:sectPr>
          <w:footerReference w:type="default" r:id="rId15"/>
          <w:pgSz w:w="7940" w:h="11500"/>
          <w:pgMar w:top="841" w:right="965" w:bottom="1009" w:left="1039" w:header="0" w:footer="865" w:gutter="0"/>
        </w:sectPr>
        <w:rPr/>
      </w:pPr>
    </w:p>
    <w:p>
      <w:pPr>
        <w:pStyle w:val="BodyText"/>
        <w:spacing w:before="42" w:line="219" w:lineRule="auto"/>
        <w:rPr/>
      </w:pPr>
      <w:bookmarkStart w:name="bookmark31" w:id="20"/>
      <w:bookmarkEnd w:id="20"/>
      <w:r>
        <w:rPr>
          <w:spacing w:val="5"/>
        </w:rPr>
        <w:t>启时的最远点至平台边缘的距离)不应小于1.50</w:t>
      </w:r>
      <w:r>
        <w:rPr>
          <w:rFonts w:ascii="Times New Roman" w:hAnsi="Times New Roman" w:eastAsia="Times New Roman" w:cs="Times New Roman"/>
          <w:spacing w:val="5"/>
        </w:rPr>
        <w:t>m</w:t>
      </w:r>
      <w:r>
        <w:rPr>
          <w:spacing w:val="5"/>
        </w:rPr>
        <w:t>。</w:t>
      </w:r>
    </w:p>
    <w:p>
      <w:pPr>
        <w:pStyle w:val="BodyText"/>
        <w:ind w:firstLine="423"/>
        <w:spacing w:before="71" w:line="259" w:lineRule="auto"/>
        <w:rPr/>
      </w:pPr>
      <w:r>
        <w:rPr>
          <w:b/>
          <w:bCs/>
          <w:spacing w:val="7"/>
        </w:rPr>
        <w:t>4</w:t>
      </w:r>
      <w:r>
        <w:rPr>
          <w:spacing w:val="93"/>
        </w:rPr>
        <w:t xml:space="preserve"> </w:t>
      </w:r>
      <w:r>
        <w:rPr>
          <w:spacing w:val="7"/>
        </w:rPr>
        <w:t>公共出入口位于阳台、外廊及开敞楼梯平台的下部时，</w:t>
      </w:r>
      <w:r>
        <w:rPr/>
        <w:t xml:space="preserve"> </w:t>
      </w:r>
      <w:r>
        <w:rPr>
          <w:spacing w:val="-1"/>
        </w:rPr>
        <w:t>应采取防止坠物伤害的安全措施。公共出入口上方应设雨篷，雨</w:t>
      </w:r>
      <w:r>
        <w:rPr>
          <w:spacing w:val="18"/>
        </w:rPr>
        <w:t xml:space="preserve"> </w:t>
      </w:r>
      <w:r>
        <w:rPr>
          <w:spacing w:val="-1"/>
        </w:rPr>
        <w:t>篷的宽度不应小于门洞的宽度，雨篷的挑出长度应超过门扇开启</w:t>
      </w:r>
      <w:r>
        <w:rPr>
          <w:spacing w:val="17"/>
        </w:rPr>
        <w:t xml:space="preserve"> </w:t>
      </w:r>
      <w:r>
        <w:rPr>
          <w:spacing w:val="2"/>
        </w:rPr>
        <w:t>时的最远点，且不应小于1.00</w:t>
      </w:r>
      <w:r>
        <w:rPr>
          <w:rFonts w:ascii="Times New Roman" w:hAnsi="Times New Roman" w:eastAsia="Times New Roman" w:cs="Times New Roman"/>
          <w:spacing w:val="2"/>
        </w:rPr>
        <w:t>m</w:t>
      </w:r>
      <w:r>
        <w:rPr>
          <w:spacing w:val="2"/>
        </w:rPr>
        <w:t>。</w:t>
      </w:r>
    </w:p>
    <w:p>
      <w:pPr>
        <w:pStyle w:val="BodyText"/>
        <w:ind w:right="82" w:firstLine="420"/>
        <w:spacing w:before="80" w:line="263" w:lineRule="auto"/>
        <w:rPr/>
      </w:pPr>
      <w:r>
        <w:rPr>
          <w:rFonts w:ascii="Times New Roman" w:hAnsi="Times New Roman" w:eastAsia="Times New Roman" w:cs="Times New Roman"/>
          <w:b/>
          <w:bCs/>
          <w:spacing w:val="3"/>
        </w:rPr>
        <w:t>5</w:t>
      </w:r>
      <w:r>
        <w:rPr>
          <w:rFonts w:ascii="Times New Roman" w:hAnsi="Times New Roman" w:eastAsia="Times New Roman" w:cs="Times New Roman"/>
          <w:b/>
          <w:bCs/>
          <w:spacing w:val="16"/>
        </w:rPr>
        <w:t xml:space="preserve">   </w:t>
      </w:r>
      <w:r>
        <w:rPr>
          <w:spacing w:val="3"/>
        </w:rPr>
        <w:t>当公共出入口台阶总高度超过0.70</w:t>
      </w:r>
      <w:r>
        <w:rPr>
          <w:rFonts w:ascii="Times New Roman" w:hAnsi="Times New Roman" w:eastAsia="Times New Roman" w:cs="Times New Roman"/>
          <w:spacing w:val="3"/>
        </w:rPr>
        <w:t>m </w:t>
      </w:r>
      <w:r>
        <w:rPr>
          <w:spacing w:val="3"/>
        </w:rPr>
        <w:t>且侧面临空时，台</w:t>
      </w:r>
      <w:r>
        <w:rPr>
          <w:spacing w:val="1"/>
        </w:rPr>
        <w:t xml:space="preserve"> </w:t>
      </w:r>
      <w:r>
        <w:rPr>
          <w:spacing w:val="15"/>
        </w:rPr>
        <w:t>阶和平台的临空侧面应设防护设施，且防护设施净高不应低</w:t>
      </w:r>
      <w:r>
        <w:rPr>
          <w:spacing w:val="2"/>
        </w:rPr>
        <w:t xml:space="preserve"> </w:t>
      </w:r>
      <w:r>
        <w:rPr>
          <w:spacing w:val="4"/>
        </w:rPr>
        <w:t>于1.20</w:t>
      </w:r>
      <w:r>
        <w:rPr>
          <w:rFonts w:ascii="Times New Roman" w:hAnsi="Times New Roman" w:eastAsia="Times New Roman" w:cs="Times New Roman"/>
          <w:spacing w:val="4"/>
        </w:rPr>
        <w:t>m</w:t>
      </w:r>
      <w:r>
        <w:rPr>
          <w:spacing w:val="4"/>
        </w:rPr>
        <w:t>。</w:t>
      </w:r>
    </w:p>
    <w:p>
      <w:pPr>
        <w:pStyle w:val="BodyText"/>
        <w:ind w:right="73" w:firstLine="3"/>
        <w:spacing w:before="33" w:line="283" w:lineRule="auto"/>
        <w:rPr/>
      </w:pPr>
      <w:r>
        <w:rPr>
          <w:b/>
          <w:bCs/>
          <w:spacing w:val="3"/>
        </w:rPr>
        <w:t>4.2.8</w:t>
      </w:r>
      <w:r>
        <w:rPr>
          <w:spacing w:val="3"/>
        </w:rPr>
        <w:t xml:space="preserve">  外廊、室内回廊、内天井、</w:t>
      </w:r>
      <w:r>
        <w:rPr>
          <w:spacing w:val="2"/>
        </w:rPr>
        <w:t>室外楼梯及上人屋面等临空</w:t>
      </w:r>
      <w:r>
        <w:rPr/>
        <w:t xml:space="preserve"> </w:t>
      </w:r>
      <w:r>
        <w:rPr>
          <w:spacing w:val="-4"/>
        </w:rPr>
        <w:t>处应设防护栏杆，且应符合下列规定：</w:t>
      </w:r>
    </w:p>
    <w:p>
      <w:pPr>
        <w:pStyle w:val="BodyText"/>
        <w:ind w:left="423"/>
        <w:spacing w:before="5" w:line="219" w:lineRule="auto"/>
        <w:rPr/>
      </w:pPr>
      <w:r>
        <w:rPr>
          <w:b/>
          <w:bCs/>
          <w:spacing w:val="2"/>
        </w:rPr>
        <w:t>1</w:t>
      </w:r>
      <w:r>
        <w:rPr>
          <w:spacing w:val="2"/>
        </w:rPr>
        <w:t xml:space="preserve">  栏杆净高不应低于1.20m;</w:t>
      </w:r>
    </w:p>
    <w:p>
      <w:pPr>
        <w:pStyle w:val="BodyText"/>
        <w:ind w:right="84" w:firstLine="423"/>
        <w:spacing w:before="49" w:line="256" w:lineRule="auto"/>
        <w:rPr/>
      </w:pPr>
      <w:r>
        <w:rPr>
          <w:b/>
          <w:bCs/>
          <w:spacing w:val="3"/>
        </w:rPr>
        <w:t>2</w:t>
      </w:r>
      <w:r>
        <w:rPr>
          <w:spacing w:val="109"/>
        </w:rPr>
        <w:t xml:space="preserve"> </w:t>
      </w:r>
      <w:r>
        <w:rPr>
          <w:spacing w:val="3"/>
        </w:rPr>
        <w:t>栏杆应有防止攀登和物品坠落的措施，栏杆竖向杆件间</w:t>
      </w:r>
      <w:r>
        <w:rPr/>
        <w:t xml:space="preserve"> </w:t>
      </w:r>
      <w:r>
        <w:rPr>
          <w:spacing w:val="1"/>
        </w:rPr>
        <w:t>的净距不应大于0.11</w:t>
      </w:r>
      <w:r>
        <w:rPr>
          <w:rFonts w:ascii="Times New Roman" w:hAnsi="Times New Roman" w:eastAsia="Times New Roman" w:cs="Times New Roman"/>
          <w:spacing w:val="1"/>
        </w:rPr>
        <w:t>m</w:t>
      </w:r>
      <w:r>
        <w:rPr>
          <w:spacing w:val="1"/>
        </w:rPr>
        <w:t>。</w:t>
      </w:r>
    </w:p>
    <w:p>
      <w:pPr>
        <w:pStyle w:val="BodyText"/>
        <w:ind w:right="88"/>
        <w:spacing w:before="49" w:line="241" w:lineRule="auto"/>
        <w:rPr/>
      </w:pPr>
      <w:r>
        <w:rPr>
          <w:spacing w:val="3"/>
        </w:rPr>
        <w:t>4.2.9</w:t>
      </w:r>
      <w:r>
        <w:rPr>
          <w:spacing w:val="98"/>
        </w:rPr>
        <w:t xml:space="preserve"> </w:t>
      </w:r>
      <w:r>
        <w:rPr>
          <w:spacing w:val="3"/>
        </w:rPr>
        <w:t>公共出入口内外、公共走廊、公共楼梯、电梯厅等处的</w:t>
      </w:r>
      <w:r>
        <w:rPr/>
        <w:t xml:space="preserve"> </w:t>
      </w:r>
      <w:r>
        <w:rPr>
          <w:spacing w:val="1"/>
        </w:rPr>
        <w:t>地面应采用防滑铺装，地面静摩擦系数</w:t>
      </w:r>
      <w:r>
        <w:rPr>
          <w:spacing w:val="-23"/>
        </w:rPr>
        <w:t xml:space="preserve"> </w:t>
      </w:r>
      <w:r>
        <w:rPr>
          <w:rFonts w:ascii="Times New Roman" w:hAnsi="Times New Roman" w:eastAsia="Times New Roman" w:cs="Times New Roman"/>
          <w:spacing w:val="1"/>
        </w:rPr>
        <w:t>(</w:t>
      </w:r>
      <w:r>
        <w:rPr>
          <w:rFonts w:ascii="Times New Roman" w:hAnsi="Times New Roman" w:eastAsia="Times New Roman" w:cs="Times New Roman"/>
        </w:rPr>
        <w:t>COF</w:t>
      </w:r>
      <w:r>
        <w:rPr>
          <w:rFonts w:ascii="Times New Roman" w:hAnsi="Times New Roman" w:eastAsia="Times New Roman" w:cs="Times New Roman"/>
          <w:spacing w:val="1"/>
        </w:rPr>
        <w:t>)</w:t>
      </w:r>
      <w:r>
        <w:rPr>
          <w:rFonts w:ascii="Times New Roman" w:hAnsi="Times New Roman" w:eastAsia="Times New Roman" w:cs="Times New Roman"/>
        </w:rPr>
        <w:t xml:space="preserve">    </w:t>
      </w:r>
      <w:r>
        <w:rPr>
          <w:spacing w:val="1"/>
        </w:rPr>
        <w:t>不应小于0.6。</w:t>
      </w:r>
    </w:p>
    <w:p>
      <w:pPr>
        <w:pStyle w:val="BodyText"/>
        <w:spacing w:before="82" w:line="219" w:lineRule="auto"/>
        <w:rPr/>
      </w:pPr>
      <w:r>
        <w:rPr>
          <w:spacing w:val="-2"/>
        </w:rPr>
        <w:t>4.2.10</w:t>
      </w:r>
      <w:r>
        <w:rPr>
          <w:spacing w:val="102"/>
        </w:rPr>
        <w:t xml:space="preserve"> </w:t>
      </w:r>
      <w:r>
        <w:rPr>
          <w:spacing w:val="-2"/>
        </w:rPr>
        <w:t>下列设备设施应设置在住宅建筑公共空间内：</w:t>
      </w:r>
    </w:p>
    <w:p>
      <w:pPr>
        <w:pStyle w:val="BodyText"/>
        <w:ind w:right="92" w:firstLine="420"/>
        <w:spacing w:before="62" w:line="260" w:lineRule="auto"/>
        <w:rPr/>
      </w:pPr>
      <w:r>
        <w:rPr>
          <w:spacing w:val="6"/>
        </w:rPr>
        <w:t>1  给水总立管、消防立管、雨水立管(不包括设置在开敞</w:t>
      </w:r>
      <w:r>
        <w:rPr>
          <w:spacing w:val="15"/>
        </w:rPr>
        <w:t xml:space="preserve"> </w:t>
      </w:r>
      <w:r>
        <w:rPr>
          <w:spacing w:val="10"/>
        </w:rPr>
        <w:t>式阳台的雨水立管)、供暖(空调)供回水总立管、配电和弱电</w:t>
      </w:r>
      <w:r>
        <w:rPr>
          <w:spacing w:val="6"/>
        </w:rPr>
        <w:t xml:space="preserve"> </w:t>
      </w:r>
      <w:r>
        <w:rPr>
          <w:spacing w:val="22"/>
        </w:rPr>
        <w:t>干线(管)等；</w:t>
      </w:r>
    </w:p>
    <w:p>
      <w:pPr>
        <w:pStyle w:val="BodyText"/>
        <w:ind w:firstLine="420"/>
        <w:spacing w:before="62" w:line="255" w:lineRule="auto"/>
        <w:rPr/>
      </w:pPr>
      <w:r>
        <w:rPr>
          <w:spacing w:val="7"/>
        </w:rPr>
        <w:t>2</w:t>
      </w:r>
      <w:r>
        <w:rPr>
          <w:spacing w:val="91"/>
        </w:rPr>
        <w:t xml:space="preserve"> </w:t>
      </w:r>
      <w:r>
        <w:rPr>
          <w:spacing w:val="7"/>
        </w:rPr>
        <w:t>公共管道阀门(必须设在套内的燃气引入管阀门除外)、</w:t>
      </w:r>
      <w:r>
        <w:rPr/>
        <w:t xml:space="preserve"> </w:t>
      </w:r>
      <w:r>
        <w:rPr>
          <w:spacing w:val="2"/>
        </w:rPr>
        <w:t>电气设备及用于总体调节和检修的部件(套内排水立管检修</w:t>
      </w:r>
      <w:r>
        <w:rPr>
          <w:spacing w:val="1"/>
        </w:rPr>
        <w:t>口除</w:t>
      </w:r>
      <w:r>
        <w:rPr/>
        <w:t xml:space="preserve">  </w:t>
      </w:r>
      <w:r>
        <w:rPr>
          <w:spacing w:val="4"/>
        </w:rPr>
        <w:t>外);</w:t>
      </w:r>
    </w:p>
    <w:p>
      <w:pPr>
        <w:pStyle w:val="BodyText"/>
        <w:ind w:left="420"/>
        <w:spacing w:before="58" w:line="219" w:lineRule="auto"/>
        <w:rPr/>
      </w:pPr>
      <w:r>
        <w:rPr>
          <w:spacing w:val="-4"/>
        </w:rPr>
        <w:t>3  室内供暖管沟和电缆沟的检查孔。</w:t>
      </w:r>
    </w:p>
    <w:p>
      <w:pPr>
        <w:pStyle w:val="BodyText"/>
        <w:spacing w:before="71" w:line="219" w:lineRule="auto"/>
        <w:rPr/>
      </w:pPr>
      <w:r>
        <w:rPr>
          <w:spacing w:val="-2"/>
        </w:rPr>
        <w:t>4.2.11</w:t>
      </w:r>
      <w:r>
        <w:rPr>
          <w:spacing w:val="107"/>
        </w:rPr>
        <w:t xml:space="preserve"> </w:t>
      </w:r>
      <w:r>
        <w:rPr>
          <w:spacing w:val="-2"/>
        </w:rPr>
        <w:t>住宅建筑的电缆井、管道井应在每层楼板处严密封堵。</w:t>
      </w:r>
    </w:p>
    <w:p>
      <w:pPr>
        <w:pStyle w:val="BodyText"/>
        <w:ind w:right="76"/>
        <w:spacing w:before="91" w:line="247" w:lineRule="auto"/>
        <w:rPr/>
      </w:pPr>
      <w:r>
        <w:rPr/>
        <w:t>4.2.12  当住宅建筑采用分体式空</w:t>
      </w:r>
      <w:r>
        <w:rPr>
          <w:spacing w:val="-1"/>
        </w:rPr>
        <w:t>调时，室外机位置和安装应符</w:t>
      </w:r>
      <w:r>
        <w:rPr/>
        <w:t xml:space="preserve"> </w:t>
      </w:r>
      <w:r>
        <w:rPr>
          <w:spacing w:val="-8"/>
        </w:rPr>
        <w:t>合下列规定：</w:t>
      </w:r>
    </w:p>
    <w:p>
      <w:pPr>
        <w:pStyle w:val="BodyText"/>
        <w:ind w:right="95" w:firstLine="420"/>
        <w:spacing w:before="38" w:line="255" w:lineRule="auto"/>
        <w:rPr/>
      </w:pPr>
      <w:r>
        <w:rPr>
          <w:spacing w:val="3"/>
        </w:rPr>
        <w:t>1  应设置方便室外机安装和维护操作的</w:t>
      </w:r>
      <w:r>
        <w:rPr>
          <w:spacing w:val="2"/>
        </w:rPr>
        <w:t>可上人专用平台板</w:t>
      </w:r>
      <w:r>
        <w:rPr/>
        <w:t xml:space="preserve"> </w:t>
      </w:r>
      <w:r>
        <w:rPr>
          <w:spacing w:val="6"/>
        </w:rPr>
        <w:t>或预留空间，专用平台板与主体建筑结构的连接应进行结构设</w:t>
      </w:r>
      <w:r>
        <w:rPr>
          <w:spacing w:val="17"/>
        </w:rPr>
        <w:t xml:space="preserve"> </w:t>
      </w:r>
      <w:r>
        <w:rPr>
          <w:spacing w:val="-3"/>
        </w:rPr>
        <w:t>计，且设计工作年限与主体结构相同。</w:t>
      </w:r>
    </w:p>
    <w:p>
      <w:pPr>
        <w:pStyle w:val="BodyText"/>
        <w:ind w:left="420"/>
        <w:spacing w:before="60" w:line="219" w:lineRule="auto"/>
        <w:rPr/>
      </w:pPr>
      <w:r>
        <w:rPr>
          <w:spacing w:val="3"/>
        </w:rPr>
        <w:t>2</w:t>
      </w:r>
      <w:r>
        <w:rPr>
          <w:spacing w:val="102"/>
        </w:rPr>
        <w:t xml:space="preserve"> </w:t>
      </w:r>
      <w:r>
        <w:rPr>
          <w:spacing w:val="3"/>
        </w:rPr>
        <w:t>室外机位置应保障通风通畅，不应设置在建筑天井等通</w:t>
      </w:r>
    </w:p>
    <w:p>
      <w:pPr>
        <w:spacing w:line="219" w:lineRule="auto"/>
        <w:sectPr>
          <w:footerReference w:type="default" r:id="rId16"/>
          <w:pgSz w:w="7940" w:h="11500"/>
          <w:pgMar w:top="846" w:right="964" w:bottom="1011" w:left="1029" w:header="0" w:footer="867" w:gutter="0"/>
        </w:sectPr>
        <w:rPr/>
      </w:pPr>
    </w:p>
    <w:p>
      <w:pPr>
        <w:pStyle w:val="BodyText"/>
        <w:spacing w:before="41" w:line="272" w:lineRule="auto"/>
        <w:rPr/>
      </w:pPr>
      <w:bookmarkStart w:name="bookmark32" w:id="21"/>
      <w:bookmarkEnd w:id="21"/>
      <w:r>
        <w:rPr>
          <w:spacing w:val="-1"/>
        </w:rPr>
        <w:t>风不良的位置，且不应对室外人员和相邻窗口造成不利影响。当</w:t>
      </w:r>
      <w:r>
        <w:rPr>
          <w:spacing w:val="17"/>
        </w:rPr>
        <w:t xml:space="preserve"> </w:t>
      </w:r>
      <w:r>
        <w:rPr>
          <w:spacing w:val="-2"/>
        </w:rPr>
        <w:t>室外机位设置围护的格栅或墙体时，不应妨碍空调有效散热。</w:t>
      </w:r>
    </w:p>
    <w:p>
      <w:pPr>
        <w:pStyle w:val="BodyText"/>
        <w:ind w:right="21" w:firstLine="413"/>
        <w:spacing w:line="281" w:lineRule="auto"/>
        <w:rPr/>
      </w:pPr>
      <w:r>
        <w:rPr>
          <w:b/>
          <w:bCs/>
          <w:spacing w:val="3"/>
        </w:rPr>
        <w:t>3</w:t>
      </w:r>
      <w:r>
        <w:rPr>
          <w:spacing w:val="108"/>
        </w:rPr>
        <w:t xml:space="preserve"> </w:t>
      </w:r>
      <w:r>
        <w:rPr>
          <w:spacing w:val="3"/>
        </w:rPr>
        <w:t>室外机应采用坐式安装方式，且室外机底座应与专用平</w:t>
      </w:r>
      <w:r>
        <w:rPr/>
        <w:t xml:space="preserve"> </w:t>
      </w:r>
      <w:r>
        <w:rPr>
          <w:spacing w:val="5"/>
        </w:rPr>
        <w:t>台板(架)连接牢固，并应采取防止坠落的措施。</w:t>
      </w:r>
    </w:p>
    <w:p>
      <w:pPr>
        <w:pStyle w:val="BodyText"/>
        <w:ind w:right="2"/>
        <w:spacing w:line="274" w:lineRule="auto"/>
        <w:jc w:val="both"/>
        <w:rPr/>
      </w:pPr>
      <w:r>
        <w:rPr>
          <w:rFonts w:ascii="Times New Roman" w:hAnsi="Times New Roman" w:eastAsia="Times New Roman" w:cs="Times New Roman"/>
          <w:spacing w:val="1"/>
        </w:rPr>
        <w:t>4.2.13     </w:t>
      </w:r>
      <w:r>
        <w:rPr>
          <w:spacing w:val="1"/>
        </w:rPr>
        <w:t>新建住宅建筑采用太阳能热水系统、光伏系统时</w:t>
      </w:r>
      <w:r>
        <w:rPr/>
        <w:t>，应统 </w:t>
      </w:r>
      <w:r>
        <w:rPr>
          <w:spacing w:val="-1"/>
        </w:rPr>
        <w:t>一规划、同步设计、同步施工，且太阳能热水系统、光伏系统的</w:t>
      </w:r>
      <w:r>
        <w:rPr>
          <w:spacing w:val="15"/>
        </w:rPr>
        <w:t xml:space="preserve"> </w:t>
      </w:r>
      <w:r>
        <w:rPr>
          <w:spacing w:val="-6"/>
        </w:rPr>
        <w:t>设置应符合下列规定：</w:t>
      </w:r>
    </w:p>
    <w:p>
      <w:pPr>
        <w:pStyle w:val="BodyText"/>
        <w:ind w:left="413"/>
        <w:spacing w:before="15" w:line="220" w:lineRule="auto"/>
        <w:rPr/>
      </w:pPr>
      <w:r>
        <w:rPr>
          <w:b/>
          <w:bCs/>
          <w:spacing w:val="-6"/>
        </w:rPr>
        <w:t>1</w:t>
      </w:r>
      <w:r>
        <w:rPr>
          <w:spacing w:val="14"/>
        </w:rPr>
        <w:t xml:space="preserve">  </w:t>
      </w:r>
      <w:r>
        <w:rPr>
          <w:spacing w:val="-6"/>
        </w:rPr>
        <w:t>应与建筑主体结构连接牢固；</w:t>
      </w:r>
    </w:p>
    <w:p>
      <w:pPr>
        <w:pStyle w:val="BodyText"/>
        <w:ind w:left="413"/>
        <w:spacing w:before="38" w:line="219" w:lineRule="auto"/>
        <w:rPr/>
      </w:pPr>
      <w:r>
        <w:rPr>
          <w:b/>
          <w:bCs/>
          <w:spacing w:val="-3"/>
        </w:rPr>
        <w:t>2</w:t>
      </w:r>
      <w:r>
        <w:rPr>
          <w:spacing w:val="101"/>
        </w:rPr>
        <w:t xml:space="preserve"> </w:t>
      </w:r>
      <w:r>
        <w:rPr>
          <w:spacing w:val="-3"/>
        </w:rPr>
        <w:t>应采取防水、密封和排水构造措施；</w:t>
      </w:r>
    </w:p>
    <w:p>
      <w:pPr>
        <w:pStyle w:val="BodyText"/>
        <w:ind w:left="413"/>
        <w:spacing w:before="81" w:line="219" w:lineRule="auto"/>
        <w:rPr/>
      </w:pPr>
      <w:r>
        <w:rPr>
          <w:b/>
          <w:bCs/>
          <w:spacing w:val="-4"/>
        </w:rPr>
        <w:t>3</w:t>
      </w:r>
      <w:r>
        <w:rPr>
          <w:spacing w:val="106"/>
        </w:rPr>
        <w:t xml:space="preserve"> </w:t>
      </w:r>
      <w:r>
        <w:rPr>
          <w:spacing w:val="-4"/>
        </w:rPr>
        <w:t>不应破坏住宅建筑防水层及附属设施。</w:t>
      </w:r>
    </w:p>
    <w:p>
      <w:pPr>
        <w:spacing w:line="219" w:lineRule="auto"/>
        <w:sectPr>
          <w:footerReference w:type="default" r:id="rId17"/>
          <w:pgSz w:w="7940" w:h="11500"/>
          <w:pgMar w:top="857" w:right="1029" w:bottom="1009" w:left="1039" w:header="0" w:footer="865" w:gutter="0"/>
        </w:sectPr>
        <w:rPr/>
      </w:pPr>
    </w:p>
    <w:p>
      <w:pPr>
        <w:spacing w:line="289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pStyle w:val="BodyText"/>
        <w:ind w:left="2183"/>
        <w:spacing w:before="88" w:line="220" w:lineRule="auto"/>
        <w:outlineLvl w:val="0"/>
        <w:rPr>
          <w:sz w:val="27"/>
          <w:szCs w:val="27"/>
        </w:rPr>
      </w:pPr>
      <w:bookmarkStart w:name="bookmark14" w:id="22"/>
      <w:bookmarkEnd w:id="22"/>
      <w:r>
        <w:rPr>
          <w:sz w:val="27"/>
          <w:szCs w:val="27"/>
          <w:b/>
          <w:bCs/>
          <w:spacing w:val="-14"/>
        </w:rPr>
        <w:t>5</w:t>
      </w:r>
      <w:r>
        <w:rPr>
          <w:sz w:val="27"/>
          <w:szCs w:val="27"/>
          <w:spacing w:val="15"/>
        </w:rPr>
        <w:t xml:space="preserve">  </w:t>
      </w:r>
      <w:r>
        <w:rPr>
          <w:sz w:val="27"/>
          <w:szCs w:val="27"/>
          <w:b/>
          <w:bCs/>
          <w:spacing w:val="-14"/>
        </w:rPr>
        <w:t>结</w:t>
      </w:r>
      <w:r>
        <w:rPr>
          <w:sz w:val="27"/>
          <w:szCs w:val="27"/>
          <w:spacing w:val="9"/>
        </w:rPr>
        <w:t xml:space="preserve">    </w:t>
      </w:r>
      <w:r>
        <w:rPr>
          <w:sz w:val="27"/>
          <w:szCs w:val="27"/>
          <w:b/>
          <w:bCs/>
          <w:spacing w:val="-14"/>
        </w:rPr>
        <w:t>构</w:t>
      </w:r>
    </w:p>
    <w:p>
      <w:pPr>
        <w:spacing w:line="427" w:lineRule="auto"/>
        <w:rPr>
          <w:rFonts w:ascii="Arial"/>
          <w:sz w:val="21"/>
        </w:rPr>
      </w:pPr>
      <w:r/>
    </w:p>
    <w:p>
      <w:pPr>
        <w:pStyle w:val="BodyText"/>
        <w:spacing w:before="69" w:line="219" w:lineRule="auto"/>
        <w:rPr/>
      </w:pPr>
      <w:r>
        <w:rPr>
          <w:rFonts w:ascii="Times New Roman" w:hAnsi="Times New Roman" w:eastAsia="Times New Roman" w:cs="Times New Roman"/>
          <w:b/>
          <w:bCs/>
          <w:spacing w:val="-2"/>
        </w:rPr>
        <w:t>5.0.1</w:t>
      </w:r>
      <w:r>
        <w:rPr>
          <w:rFonts w:ascii="Times New Roman" w:hAnsi="Times New Roman" w:eastAsia="Times New Roman" w:cs="Times New Roman"/>
          <w:b/>
          <w:bCs/>
          <w:spacing w:val="9"/>
        </w:rPr>
        <w:t xml:space="preserve">     </w:t>
      </w:r>
      <w:r>
        <w:rPr>
          <w:spacing w:val="-2"/>
        </w:rPr>
        <w:t>住宅建筑结构的安全等级不应低于二级。</w:t>
      </w:r>
    </w:p>
    <w:p>
      <w:pPr>
        <w:pStyle w:val="BodyText"/>
        <w:spacing w:before="80" w:line="219" w:lineRule="auto"/>
        <w:rPr/>
      </w:pPr>
      <w:r>
        <w:rPr>
          <w:rFonts w:ascii="Times New Roman" w:hAnsi="Times New Roman" w:eastAsia="Times New Roman" w:cs="Times New Roman"/>
          <w:b/>
          <w:bCs/>
          <w:spacing w:val="-2"/>
        </w:rPr>
        <w:t>5.0.2</w:t>
      </w:r>
      <w:r>
        <w:rPr>
          <w:rFonts w:ascii="Times New Roman" w:hAnsi="Times New Roman" w:eastAsia="Times New Roman" w:cs="Times New Roman"/>
          <w:b/>
          <w:bCs/>
          <w:spacing w:val="10"/>
        </w:rPr>
        <w:t xml:space="preserve">     </w:t>
      </w:r>
      <w:r>
        <w:rPr>
          <w:spacing w:val="-2"/>
        </w:rPr>
        <w:t>住宅建筑的抗震设防类别不应低于标准设防类。</w:t>
      </w:r>
    </w:p>
    <w:p>
      <w:pPr>
        <w:pStyle w:val="BodyText"/>
        <w:ind w:right="95" w:firstLine="3"/>
        <w:spacing w:before="49" w:line="255" w:lineRule="auto"/>
        <w:rPr/>
      </w:pPr>
      <w:r>
        <w:rPr>
          <w:b/>
          <w:bCs/>
          <w:spacing w:val="2"/>
        </w:rPr>
        <w:t>5.0.3</w:t>
      </w:r>
      <w:r>
        <w:rPr>
          <w:spacing w:val="106"/>
        </w:rPr>
        <w:t xml:space="preserve"> </w:t>
      </w:r>
      <w:r>
        <w:rPr>
          <w:spacing w:val="2"/>
        </w:rPr>
        <w:t>住宅建筑结构应进行承载力极限状态、正常使用极限状</w:t>
      </w:r>
      <w:r>
        <w:rPr/>
        <w:t xml:space="preserve"> </w:t>
      </w:r>
      <w:r>
        <w:rPr>
          <w:spacing w:val="-2"/>
        </w:rPr>
        <w:t>态和耐久性设计，并应符合住宅建造过程的安全性要求以及结构</w:t>
      </w:r>
      <w:r>
        <w:rPr>
          <w:spacing w:val="8"/>
        </w:rPr>
        <w:t xml:space="preserve"> </w:t>
      </w:r>
      <w:r>
        <w:rPr>
          <w:spacing w:val="-3"/>
        </w:rPr>
        <w:t>设计工作年限内的可靠性要求。</w:t>
      </w:r>
    </w:p>
    <w:p>
      <w:pPr>
        <w:pStyle w:val="BodyText"/>
        <w:ind w:right="87"/>
        <w:spacing w:before="69" w:line="250" w:lineRule="auto"/>
        <w:rPr/>
      </w:pPr>
      <w:r>
        <w:rPr>
          <w:rFonts w:ascii="Times New Roman" w:hAnsi="Times New Roman" w:eastAsia="Times New Roman" w:cs="Times New Roman"/>
          <w:b/>
          <w:bCs/>
          <w:spacing w:val="10"/>
        </w:rPr>
        <w:t>5.0.4     </w:t>
      </w:r>
      <w:r>
        <w:rPr>
          <w:spacing w:val="10"/>
        </w:rPr>
        <w:t>新建住宅建筑的钢筋混凝土结构实心楼板厚度不应小</w:t>
      </w:r>
      <w:r>
        <w:rPr>
          <w:spacing w:val="13"/>
        </w:rPr>
        <w:t xml:space="preserve"> </w:t>
      </w:r>
      <w:r>
        <w:rPr>
          <w:spacing w:val="6"/>
        </w:rPr>
        <w:t>于100</w:t>
      </w:r>
      <w:r>
        <w:rPr>
          <w:rFonts w:ascii="Times New Roman" w:hAnsi="Times New Roman" w:eastAsia="Times New Roman" w:cs="Times New Roman"/>
        </w:rPr>
        <w:t>mm</w:t>
      </w:r>
      <w:r>
        <w:rPr>
          <w:spacing w:val="6"/>
        </w:rPr>
        <w:t>。</w:t>
      </w:r>
    </w:p>
    <w:p>
      <w:pPr>
        <w:pStyle w:val="BodyText"/>
        <w:ind w:right="72"/>
        <w:spacing w:before="62" w:line="255" w:lineRule="auto"/>
        <w:rPr/>
      </w:pPr>
      <w:r>
        <w:rPr>
          <w:rFonts w:ascii="Times New Roman" w:hAnsi="Times New Roman" w:eastAsia="Times New Roman" w:cs="Times New Roman"/>
          <w:b/>
          <w:bCs/>
          <w:spacing w:val="4"/>
        </w:rPr>
        <w:t>5.0.5     </w:t>
      </w:r>
      <w:r>
        <w:rPr>
          <w:spacing w:val="4"/>
        </w:rPr>
        <w:t>临近住宅建筑的永久性边坡的设计工作年限，不应低于</w:t>
      </w:r>
      <w:r>
        <w:rPr>
          <w:spacing w:val="12"/>
        </w:rPr>
        <w:t xml:space="preserve"> </w:t>
      </w:r>
      <w:r>
        <w:rPr>
          <w:spacing w:val="-4"/>
        </w:rPr>
        <w:t>受其影响的住宅建筑的结构设计工作年限。</w:t>
      </w:r>
    </w:p>
    <w:p>
      <w:pPr>
        <w:pStyle w:val="BodyText"/>
        <w:spacing w:before="49" w:line="255" w:lineRule="auto"/>
        <w:rPr/>
      </w:pPr>
      <w:r>
        <w:rPr>
          <w:rFonts w:ascii="Times New Roman" w:hAnsi="Times New Roman" w:eastAsia="Times New Roman" w:cs="Times New Roman"/>
          <w:b/>
          <w:bCs/>
          <w:spacing w:val="6"/>
        </w:rPr>
        <w:t>5.0.6     </w:t>
      </w:r>
      <w:r>
        <w:rPr>
          <w:spacing w:val="6"/>
        </w:rPr>
        <w:t>在住宅建筑设计工作年限内，地基基础应满足承载力、</w:t>
      </w:r>
      <w:r>
        <w:rPr>
          <w:spacing w:val="17"/>
        </w:rPr>
        <w:t xml:space="preserve"> </w:t>
      </w:r>
      <w:r>
        <w:rPr>
          <w:spacing w:val="-1"/>
        </w:rPr>
        <w:t>稳定性和耐久性要求；地基基础变形不应影响住宅建筑</w:t>
      </w:r>
      <w:r>
        <w:rPr>
          <w:spacing w:val="-2"/>
        </w:rPr>
        <w:t>结构安全</w:t>
      </w:r>
      <w:r>
        <w:rPr/>
        <w:t xml:space="preserve">  </w:t>
      </w:r>
      <w:r>
        <w:rPr>
          <w:spacing w:val="-6"/>
        </w:rPr>
        <w:t>和正常使用。</w:t>
      </w:r>
    </w:p>
    <w:p>
      <w:pPr>
        <w:spacing w:line="255" w:lineRule="auto"/>
        <w:sectPr>
          <w:footerReference w:type="default" r:id="rId18"/>
          <w:pgSz w:w="7940" w:h="11500"/>
          <w:pgMar w:top="977" w:right="964" w:bottom="1011" w:left="1029" w:header="0" w:footer="867" w:gutter="0"/>
        </w:sectPr>
        <w:rPr/>
      </w:pPr>
    </w:p>
    <w:p>
      <w:pPr>
        <w:spacing w:line="282" w:lineRule="auto"/>
        <w:rPr>
          <w:rFonts w:ascii="Arial"/>
          <w:sz w:val="21"/>
        </w:rPr>
      </w:pPr>
      <w:r/>
    </w:p>
    <w:p>
      <w:pPr>
        <w:spacing w:line="283" w:lineRule="auto"/>
        <w:rPr>
          <w:rFonts w:ascii="Arial"/>
          <w:sz w:val="21"/>
        </w:rPr>
      </w:pPr>
      <w:r/>
    </w:p>
    <w:p>
      <w:pPr>
        <w:pStyle w:val="BodyText"/>
        <w:ind w:left="1989"/>
        <w:spacing w:before="91" w:line="219" w:lineRule="auto"/>
        <w:outlineLvl w:val="0"/>
        <w:rPr>
          <w:sz w:val="28"/>
          <w:szCs w:val="28"/>
        </w:rPr>
      </w:pPr>
      <w:bookmarkStart w:name="bookmark33" w:id="23"/>
      <w:bookmarkEnd w:id="23"/>
      <w:bookmarkStart w:name="bookmark15" w:id="24"/>
      <w:bookmarkEnd w:id="24"/>
      <w:r>
        <w:rPr>
          <w:sz w:val="28"/>
          <w:szCs w:val="28"/>
          <w:b/>
          <w:bCs/>
          <w:spacing w:val="-16"/>
        </w:rPr>
        <w:t>6</w:t>
      </w:r>
      <w:r>
        <w:rPr>
          <w:sz w:val="28"/>
          <w:szCs w:val="28"/>
          <w:spacing w:val="-16"/>
        </w:rPr>
        <w:t xml:space="preserve">  </w:t>
      </w:r>
      <w:r>
        <w:rPr>
          <w:sz w:val="28"/>
          <w:szCs w:val="28"/>
          <w:b/>
          <w:bCs/>
          <w:spacing w:val="-16"/>
        </w:rPr>
        <w:t>室</w:t>
      </w:r>
      <w:r>
        <w:rPr>
          <w:sz w:val="28"/>
          <w:szCs w:val="28"/>
          <w:spacing w:val="46"/>
        </w:rPr>
        <w:t xml:space="preserve"> </w:t>
      </w:r>
      <w:r>
        <w:rPr>
          <w:sz w:val="28"/>
          <w:szCs w:val="28"/>
          <w:b/>
          <w:bCs/>
          <w:spacing w:val="-16"/>
        </w:rPr>
        <w:t>内</w:t>
      </w:r>
      <w:r>
        <w:rPr>
          <w:sz w:val="28"/>
          <w:szCs w:val="28"/>
          <w:spacing w:val="7"/>
        </w:rPr>
        <w:t xml:space="preserve"> </w:t>
      </w:r>
      <w:r>
        <w:rPr>
          <w:sz w:val="28"/>
          <w:szCs w:val="28"/>
          <w:b/>
          <w:bCs/>
          <w:spacing w:val="-16"/>
        </w:rPr>
        <w:t>环</w:t>
      </w:r>
      <w:r>
        <w:rPr>
          <w:sz w:val="28"/>
          <w:szCs w:val="28"/>
          <w:spacing w:val="9"/>
        </w:rPr>
        <w:t xml:space="preserve"> </w:t>
      </w:r>
      <w:r>
        <w:rPr>
          <w:sz w:val="28"/>
          <w:szCs w:val="28"/>
          <w:b/>
          <w:bCs/>
          <w:spacing w:val="-16"/>
        </w:rPr>
        <w:t>境</w:t>
      </w:r>
    </w:p>
    <w:p>
      <w:pPr>
        <w:spacing w:line="266" w:lineRule="auto"/>
        <w:rPr>
          <w:rFonts w:ascii="Arial"/>
          <w:sz w:val="21"/>
        </w:rPr>
      </w:pPr>
      <w:r/>
    </w:p>
    <w:p>
      <w:pPr>
        <w:pStyle w:val="BodyText"/>
        <w:ind w:left="2178"/>
        <w:spacing w:before="68" w:line="220" w:lineRule="auto"/>
        <w:outlineLvl w:val="1"/>
        <w:rPr/>
      </w:pPr>
      <w:bookmarkStart w:name="bookmark16" w:id="25"/>
      <w:bookmarkEnd w:id="25"/>
      <w:r>
        <w:rPr>
          <w:b/>
          <w:bCs/>
          <w:spacing w:val="-6"/>
        </w:rPr>
        <w:t>6.1</w:t>
      </w:r>
      <w:r>
        <w:rPr>
          <w:spacing w:val="-6"/>
        </w:rPr>
        <w:t xml:space="preserve">  </w:t>
      </w:r>
      <w:r>
        <w:rPr>
          <w:b/>
          <w:bCs/>
          <w:spacing w:val="-6"/>
        </w:rPr>
        <w:t>声</w:t>
      </w:r>
      <w:r>
        <w:rPr>
          <w:spacing w:val="-6"/>
        </w:rPr>
        <w:t xml:space="preserve">  </w:t>
      </w:r>
      <w:r>
        <w:rPr>
          <w:b/>
          <w:bCs/>
          <w:spacing w:val="-6"/>
        </w:rPr>
        <w:t>环</w:t>
      </w:r>
      <w:r>
        <w:rPr>
          <w:spacing w:val="6"/>
        </w:rPr>
        <w:t xml:space="preserve">  </w:t>
      </w:r>
      <w:r>
        <w:rPr>
          <w:b/>
          <w:bCs/>
          <w:spacing w:val="-6"/>
        </w:rPr>
        <w:t>境</w:t>
      </w:r>
    </w:p>
    <w:p>
      <w:pPr>
        <w:pStyle w:val="BodyText"/>
        <w:ind w:left="15"/>
        <w:spacing w:before="221" w:line="274" w:lineRule="auto"/>
        <w:jc w:val="both"/>
        <w:rPr/>
      </w:pPr>
      <w:r>
        <w:rPr>
          <w:spacing w:val="3"/>
        </w:rPr>
        <w:t>6.1.1</w:t>
      </w:r>
      <w:r>
        <w:rPr>
          <w:spacing w:val="99"/>
        </w:rPr>
        <w:t xml:space="preserve"> </w:t>
      </w:r>
      <w:r>
        <w:rPr>
          <w:spacing w:val="3"/>
        </w:rPr>
        <w:t>住宅建筑内电梯、水泵、变压器等共用设施设备及空调</w:t>
      </w:r>
      <w:r>
        <w:rPr/>
        <w:t xml:space="preserve"> </w:t>
      </w:r>
      <w:r>
        <w:rPr>
          <w:spacing w:val="1"/>
        </w:rPr>
        <w:t>室外机或新风机组传播至卧室、起居室内的建筑设备结构噪声，</w:t>
      </w:r>
      <w:r>
        <w:rPr>
          <w:spacing w:val="6"/>
        </w:rPr>
        <w:t xml:space="preserve"> </w:t>
      </w:r>
      <w:r>
        <w:rPr>
          <w:spacing w:val="2"/>
        </w:rPr>
        <w:t>不应大于表6.1.1规定的限值。</w:t>
      </w:r>
    </w:p>
    <w:p>
      <w:pPr>
        <w:ind w:left="907"/>
        <w:spacing w:before="81" w:line="222" w:lineRule="auto"/>
        <w:rPr>
          <w:rFonts w:ascii="SimHei" w:hAnsi="SimHei" w:eastAsia="SimHei" w:cs="SimHei"/>
          <w:sz w:val="21"/>
          <w:szCs w:val="21"/>
        </w:rPr>
      </w:pPr>
      <w:r>
        <w:rPr>
          <w:rFonts w:ascii="SimHei" w:hAnsi="SimHei" w:eastAsia="SimHei" w:cs="SimHei"/>
          <w:sz w:val="21"/>
          <w:szCs w:val="21"/>
          <w:b/>
          <w:bCs/>
          <w:spacing w:val="-21"/>
          <w:w w:val="97"/>
        </w:rPr>
        <w:t>表6.1.1</w:t>
      </w:r>
      <w:r>
        <w:rPr>
          <w:rFonts w:ascii="SimHei" w:hAnsi="SimHei" w:eastAsia="SimHei" w:cs="SimHei"/>
          <w:sz w:val="21"/>
          <w:szCs w:val="21"/>
          <w:spacing w:val="69"/>
        </w:rPr>
        <w:t xml:space="preserve"> </w:t>
      </w:r>
      <w:r>
        <w:rPr>
          <w:rFonts w:ascii="SimHei" w:hAnsi="SimHei" w:eastAsia="SimHei" w:cs="SimHei"/>
          <w:sz w:val="21"/>
          <w:szCs w:val="21"/>
          <w:b/>
          <w:bCs/>
          <w:spacing w:val="-21"/>
          <w:w w:val="97"/>
        </w:rPr>
        <w:t>卧室、起居室内的建筑设备结构噪声限值</w:t>
      </w:r>
    </w:p>
    <w:p>
      <w:pPr>
        <w:spacing w:line="58" w:lineRule="exact"/>
        <w:rPr/>
      </w:pPr>
      <w:r/>
    </w:p>
    <w:tbl>
      <w:tblPr>
        <w:tblStyle w:val="TableNormal"/>
        <w:tblW w:w="587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283"/>
        <w:gridCol w:w="789"/>
        <w:gridCol w:w="798"/>
        <w:gridCol w:w="779"/>
        <w:gridCol w:w="799"/>
        <w:gridCol w:w="1422"/>
      </w:tblGrid>
      <w:tr>
        <w:trPr>
          <w:trHeight w:val="313" w:hRule="atLeast"/>
        </w:trPr>
        <w:tc>
          <w:tcPr>
            <w:tcW w:w="128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315"/>
              <w:spacing w:before="232" w:line="220" w:lineRule="auto"/>
              <w:rPr/>
            </w:pPr>
            <w:r>
              <w:rPr>
                <w:spacing w:val="-2"/>
              </w:rPr>
              <w:t>房间名称</w:t>
            </w:r>
          </w:p>
        </w:tc>
        <w:tc>
          <w:tcPr>
            <w:tcW w:w="3165" w:type="dxa"/>
            <w:vAlign w:val="top"/>
            <w:gridSpan w:val="4"/>
          </w:tcPr>
          <w:p>
            <w:pPr>
              <w:pStyle w:val="TableText"/>
              <w:ind w:left="542"/>
              <w:spacing w:before="81" w:line="219" w:lineRule="auto"/>
              <w:rPr/>
            </w:pPr>
            <w:r>
              <w:rPr>
                <w:spacing w:val="2"/>
              </w:rPr>
              <w:t>倍频带等效声压级</w:t>
            </w:r>
            <w:r>
              <w:rPr/>
              <w:t>Lm</w:t>
            </w:r>
            <w:r>
              <w:rPr>
                <w:spacing w:val="2"/>
              </w:rPr>
              <w:t>.1/1(</w:t>
            </w:r>
            <w:r>
              <w:rPr/>
              <w:t>dB</w:t>
            </w:r>
            <w:r>
              <w:rPr>
                <w:spacing w:val="2"/>
              </w:rPr>
              <w:t>)</w:t>
            </w:r>
          </w:p>
        </w:tc>
        <w:tc>
          <w:tcPr>
            <w:tcW w:w="1422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66" w:right="230" w:hanging="40"/>
              <w:spacing w:before="110" w:line="288" w:lineRule="auto"/>
              <w:rPr/>
            </w:pPr>
            <w:r>
              <w:rPr>
                <w:spacing w:val="-1"/>
              </w:rPr>
              <w:t>低频等效声级</w:t>
            </w:r>
            <w:r>
              <w:rPr/>
              <w:t xml:space="preserve"> </w:t>
            </w:r>
            <w:r>
              <w:rPr>
                <w:spacing w:val="-1"/>
              </w:rPr>
              <w:t>LAm,T,L(dB)</w:t>
            </w:r>
          </w:p>
        </w:tc>
      </w:tr>
      <w:tr>
        <w:trPr>
          <w:trHeight w:val="297" w:hRule="atLeast"/>
        </w:trPr>
        <w:tc>
          <w:tcPr>
            <w:tcW w:w="128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9" w:type="dxa"/>
            <w:vAlign w:val="top"/>
          </w:tcPr>
          <w:p>
            <w:pPr>
              <w:pStyle w:val="TableText"/>
              <w:ind w:left="141"/>
              <w:spacing w:before="84" w:line="234" w:lineRule="auto"/>
              <w:rPr/>
            </w:pPr>
            <w:r>
              <w:rPr>
                <w:spacing w:val="-2"/>
              </w:rPr>
              <w:t>31.5Hz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232"/>
              <w:spacing w:before="109" w:line="183" w:lineRule="auto"/>
              <w:rPr/>
            </w:pPr>
            <w:r>
              <w:rPr>
                <w:spacing w:val="-2"/>
              </w:rPr>
              <w:t>63Hz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184"/>
              <w:spacing w:before="109" w:line="184" w:lineRule="auto"/>
              <w:rPr/>
            </w:pPr>
            <w:r>
              <w:rPr>
                <w:spacing w:val="-3"/>
              </w:rPr>
              <w:t>125Hz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196"/>
              <w:spacing w:before="109" w:line="183" w:lineRule="auto"/>
              <w:rPr/>
            </w:pPr>
            <w:r>
              <w:rPr>
                <w:spacing w:val="-2"/>
              </w:rPr>
              <w:t>250Hz</w:t>
            </w:r>
          </w:p>
        </w:tc>
        <w:tc>
          <w:tcPr>
            <w:tcW w:w="14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17" w:hRule="atLeast"/>
        </w:trPr>
        <w:tc>
          <w:tcPr>
            <w:tcW w:w="1283" w:type="dxa"/>
            <w:vAlign w:val="top"/>
          </w:tcPr>
          <w:p>
            <w:pPr>
              <w:pStyle w:val="TableText"/>
              <w:ind w:left="475"/>
              <w:spacing w:before="82" w:line="221" w:lineRule="auto"/>
              <w:rPr/>
            </w:pPr>
            <w:r>
              <w:rPr>
                <w:spacing w:val="3"/>
              </w:rPr>
              <w:t>卧室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1"/>
              <w:spacing w:before="97"/>
              <w:rPr/>
            </w:pPr>
            <w:r>
              <w:rPr>
                <w:spacing w:val="-3"/>
              </w:rPr>
              <w:t>72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313"/>
              <w:spacing w:before="97"/>
              <w:rPr/>
            </w:pPr>
            <w:r>
              <w:rPr>
                <w:spacing w:val="-3"/>
              </w:rPr>
              <w:t>55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305"/>
              <w:spacing w:before="97"/>
              <w:rPr/>
            </w:pPr>
            <w:r>
              <w:rPr>
                <w:spacing w:val="-2"/>
              </w:rPr>
              <w:t>43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97"/>
              <w:rPr/>
            </w:pPr>
            <w:r>
              <w:rPr>
                <w:spacing w:val="-3"/>
              </w:rPr>
              <w:t>35</w:t>
            </w:r>
          </w:p>
        </w:tc>
        <w:tc>
          <w:tcPr>
            <w:tcW w:w="1422" w:type="dxa"/>
            <w:vAlign w:val="top"/>
          </w:tcPr>
          <w:p>
            <w:pPr>
              <w:pStyle w:val="TableText"/>
              <w:ind w:left="627"/>
              <w:spacing w:before="97"/>
              <w:rPr/>
            </w:pPr>
            <w:r>
              <w:rPr>
                <w:spacing w:val="-3"/>
              </w:rPr>
              <w:t>30</w:t>
            </w:r>
          </w:p>
        </w:tc>
      </w:tr>
      <w:tr>
        <w:trPr>
          <w:trHeight w:val="313" w:hRule="atLeast"/>
        </w:trPr>
        <w:tc>
          <w:tcPr>
            <w:tcW w:w="1283" w:type="dxa"/>
            <w:vAlign w:val="top"/>
          </w:tcPr>
          <w:p>
            <w:pPr>
              <w:pStyle w:val="TableText"/>
              <w:ind w:left="395"/>
              <w:spacing w:before="85" w:line="220" w:lineRule="auto"/>
              <w:rPr/>
            </w:pPr>
            <w:r>
              <w:rPr>
                <w:spacing w:val="-2"/>
              </w:rPr>
              <w:t>起居室</w:t>
            </w:r>
          </w:p>
        </w:tc>
        <w:tc>
          <w:tcPr>
            <w:tcW w:w="789" w:type="dxa"/>
            <w:vAlign w:val="top"/>
          </w:tcPr>
          <w:p>
            <w:pPr>
              <w:pStyle w:val="TableText"/>
              <w:ind w:left="301"/>
              <w:spacing w:before="100" w:line="234" w:lineRule="auto"/>
              <w:rPr/>
            </w:pPr>
            <w:r>
              <w:rPr>
                <w:spacing w:val="-3"/>
              </w:rPr>
              <w:t>76</w:t>
            </w:r>
          </w:p>
        </w:tc>
        <w:tc>
          <w:tcPr>
            <w:tcW w:w="798" w:type="dxa"/>
            <w:vAlign w:val="top"/>
          </w:tcPr>
          <w:p>
            <w:pPr>
              <w:pStyle w:val="TableText"/>
              <w:ind w:left="313"/>
              <w:spacing w:before="100" w:line="234" w:lineRule="auto"/>
              <w:rPr/>
            </w:pPr>
            <w:r>
              <w:rPr>
                <w:spacing w:val="-3"/>
              </w:rPr>
              <w:t>59</w:t>
            </w:r>
          </w:p>
        </w:tc>
        <w:tc>
          <w:tcPr>
            <w:tcW w:w="779" w:type="dxa"/>
            <w:vAlign w:val="top"/>
          </w:tcPr>
          <w:p>
            <w:pPr>
              <w:pStyle w:val="TableText"/>
              <w:ind w:left="305"/>
              <w:spacing w:before="100" w:line="234" w:lineRule="auto"/>
              <w:rPr/>
            </w:pPr>
            <w:r>
              <w:rPr>
                <w:spacing w:val="-2"/>
              </w:rPr>
              <w:t>48</w:t>
            </w:r>
          </w:p>
        </w:tc>
        <w:tc>
          <w:tcPr>
            <w:tcW w:w="799" w:type="dxa"/>
            <w:vAlign w:val="top"/>
          </w:tcPr>
          <w:p>
            <w:pPr>
              <w:pStyle w:val="TableText"/>
              <w:ind w:left="316"/>
              <w:spacing w:before="100" w:line="234" w:lineRule="auto"/>
              <w:rPr/>
            </w:pPr>
            <w:r>
              <w:rPr>
                <w:spacing w:val="-3"/>
              </w:rPr>
              <w:t>39</w:t>
            </w:r>
          </w:p>
        </w:tc>
        <w:tc>
          <w:tcPr>
            <w:tcW w:w="1422" w:type="dxa"/>
            <w:vAlign w:val="top"/>
          </w:tcPr>
          <w:p>
            <w:pPr>
              <w:pStyle w:val="TableText"/>
              <w:ind w:left="627"/>
              <w:spacing w:before="100" w:line="234" w:lineRule="auto"/>
              <w:rPr/>
            </w:pPr>
            <w:r>
              <w:rPr>
                <w:spacing w:val="-3"/>
              </w:rPr>
              <w:t>35</w:t>
            </w:r>
          </w:p>
        </w:tc>
      </w:tr>
    </w:tbl>
    <w:p>
      <w:pPr>
        <w:pStyle w:val="BodyText"/>
        <w:ind w:left="15" w:right="64" w:firstLine="3"/>
        <w:spacing w:before="192" w:line="277" w:lineRule="auto"/>
        <w:rPr/>
      </w:pPr>
      <w:r>
        <w:rPr>
          <w:b/>
          <w:bCs/>
          <w:spacing w:val="2"/>
        </w:rPr>
        <w:t>6.1.2</w:t>
      </w:r>
      <w:r>
        <w:rPr>
          <w:spacing w:val="107"/>
        </w:rPr>
        <w:t xml:space="preserve"> </w:t>
      </w:r>
      <w:r>
        <w:rPr>
          <w:spacing w:val="2"/>
        </w:rPr>
        <w:t>住宅卧室、起居室与相邻房间之间墙、楼板的隔声性能</w:t>
      </w:r>
      <w:r>
        <w:rPr/>
        <w:t xml:space="preserve"> </w:t>
      </w:r>
      <w:r>
        <w:rPr>
          <w:spacing w:val="-7"/>
        </w:rPr>
        <w:t>应符合下列规定：</w:t>
      </w:r>
    </w:p>
    <w:p>
      <w:pPr>
        <w:pStyle w:val="BodyText"/>
        <w:ind w:left="15" w:right="65" w:firstLine="400"/>
        <w:spacing w:before="2" w:line="252" w:lineRule="auto"/>
        <w:rPr/>
      </w:pPr>
      <w:r>
        <w:rPr>
          <w:spacing w:val="3"/>
        </w:rPr>
        <w:t>1  卧室分户墙及分户楼板两侧房间之间的计权标准化声压</w:t>
      </w:r>
      <w:r>
        <w:rPr>
          <w:spacing w:val="12"/>
        </w:rPr>
        <w:t xml:space="preserve"> </w:t>
      </w:r>
      <w:r>
        <w:rPr>
          <w:spacing w:val="1"/>
        </w:rPr>
        <w:t>级差与粉红噪声频谱修正量之和</w:t>
      </w:r>
      <w:r>
        <w:rPr>
          <w:rFonts w:ascii="Times New Roman" w:hAnsi="Times New Roman" w:eastAsia="Times New Roman" w:cs="Times New Roman"/>
          <w:spacing w:val="1"/>
        </w:rPr>
        <w:t>(</w:t>
      </w:r>
      <w:r>
        <w:rPr>
          <w:rFonts w:ascii="Times New Roman" w:hAnsi="Times New Roman" w:eastAsia="Times New Roman" w:cs="Times New Roman"/>
        </w:rPr>
        <w:t>DnT</w:t>
      </w:r>
      <w:r>
        <w:rPr>
          <w:rFonts w:ascii="Times New Roman" w:hAnsi="Times New Roman" w:eastAsia="Times New Roman" w:cs="Times New Roman"/>
          <w:spacing w:val="1"/>
        </w:rPr>
        <w:t>,w+C)</w:t>
      </w:r>
      <w:r>
        <w:rPr>
          <w:rFonts w:ascii="Times New Roman" w:hAnsi="Times New Roman" w:eastAsia="Times New Roman" w:cs="Times New Roman"/>
          <w:spacing w:val="31"/>
        </w:rPr>
        <w:t xml:space="preserve">  </w:t>
      </w:r>
      <w:r>
        <w:rPr>
          <w:spacing w:val="1"/>
        </w:rPr>
        <w:t>不应小于50</w:t>
      </w:r>
      <w:r>
        <w:rPr>
          <w:rFonts w:ascii="Times New Roman" w:hAnsi="Times New Roman" w:eastAsia="Times New Roman" w:cs="Times New Roman"/>
        </w:rPr>
        <w:t>dB</w:t>
      </w:r>
      <w:r>
        <w:rPr>
          <w:rFonts w:ascii="Times New Roman" w:hAnsi="Times New Roman" w:eastAsia="Times New Roman" w:cs="Times New Roman"/>
          <w:spacing w:val="1"/>
        </w:rPr>
        <w:t>;</w:t>
      </w:r>
      <w:r>
        <w:rPr>
          <w:rFonts w:ascii="Times New Roman" w:hAnsi="Times New Roman" w:eastAsia="Times New Roman" w:cs="Times New Roman"/>
          <w:spacing w:val="19"/>
          <w:w w:val="101"/>
        </w:rPr>
        <w:t xml:space="preserve">  </w:t>
      </w:r>
      <w:r>
        <w:rPr>
          <w:spacing w:val="1"/>
        </w:rPr>
        <w:t>其</w:t>
      </w:r>
      <w:r>
        <w:rPr/>
        <w:t xml:space="preserve"> </w:t>
      </w:r>
      <w:r>
        <w:rPr>
          <w:spacing w:val="-1"/>
        </w:rPr>
        <w:t>他分户墙及分户楼板两侧房间之间的计权标准化声压级</w:t>
      </w:r>
      <w:r>
        <w:rPr>
          <w:spacing w:val="-2"/>
        </w:rPr>
        <w:t>差与粉红</w:t>
      </w:r>
      <w:r>
        <w:rPr/>
        <w:t xml:space="preserve"> </w:t>
      </w:r>
      <w:r>
        <w:rPr>
          <w:spacing w:val="4"/>
        </w:rPr>
        <w:t>噪声频谱修正量之和</w:t>
      </w:r>
      <w:r>
        <w:rPr>
          <w:rFonts w:ascii="Times New Roman" w:hAnsi="Times New Roman" w:eastAsia="Times New Roman" w:cs="Times New Roman"/>
          <w:spacing w:val="4"/>
        </w:rPr>
        <w:t>(</w:t>
      </w:r>
      <w:r>
        <w:rPr>
          <w:rFonts w:ascii="Times New Roman" w:hAnsi="Times New Roman" w:eastAsia="Times New Roman" w:cs="Times New Roman"/>
        </w:rPr>
        <w:t>DT</w:t>
      </w:r>
      <w:r>
        <w:rPr>
          <w:rFonts w:ascii="Times New Roman" w:hAnsi="Times New Roman" w:eastAsia="Times New Roman" w:cs="Times New Roman"/>
          <w:spacing w:val="4"/>
        </w:rPr>
        <w:t>,w+C)    </w:t>
      </w:r>
      <w:r>
        <w:rPr>
          <w:spacing w:val="4"/>
        </w:rPr>
        <w:t>不应小于48</w:t>
      </w:r>
      <w:r>
        <w:rPr>
          <w:rFonts w:ascii="Times New Roman" w:hAnsi="Times New Roman" w:eastAsia="Times New Roman" w:cs="Times New Roman"/>
        </w:rPr>
        <w:t>dB</w:t>
      </w:r>
      <w:r>
        <w:rPr>
          <w:spacing w:val="4"/>
        </w:rPr>
        <w:t>。</w:t>
      </w:r>
    </w:p>
    <w:p>
      <w:pPr>
        <w:pStyle w:val="BodyText"/>
        <w:ind w:left="15" w:right="65" w:firstLine="400"/>
        <w:spacing w:before="133" w:line="245" w:lineRule="auto"/>
        <w:rPr/>
      </w:pPr>
      <w:r>
        <w:rPr>
          <w:spacing w:val="21"/>
        </w:rPr>
        <w:t>2</w:t>
      </w:r>
      <w:r>
        <w:rPr>
          <w:spacing w:val="15"/>
        </w:rPr>
        <w:t xml:space="preserve">  </w:t>
      </w:r>
      <w:r>
        <w:rPr>
          <w:spacing w:val="21"/>
        </w:rPr>
        <w:t>卧室、起居室楼板的计权标准化撞击声压级不应大</w:t>
      </w:r>
      <w:r>
        <w:rPr/>
        <w:t xml:space="preserve"> </w:t>
      </w:r>
      <w:r>
        <w:rPr>
          <w:spacing w:val="8"/>
        </w:rPr>
        <w:t>于65</w:t>
      </w:r>
      <w:r>
        <w:rPr>
          <w:rFonts w:ascii="Times New Roman" w:hAnsi="Times New Roman" w:eastAsia="Times New Roman" w:cs="Times New Roman"/>
        </w:rPr>
        <w:t>dB</w:t>
      </w:r>
      <w:r>
        <w:rPr>
          <w:spacing w:val="8"/>
        </w:rPr>
        <w:t>。</w:t>
      </w:r>
    </w:p>
    <w:p>
      <w:pPr>
        <w:pStyle w:val="BodyText"/>
        <w:ind w:left="18"/>
        <w:spacing w:before="73" w:line="219" w:lineRule="auto"/>
        <w:rPr/>
      </w:pPr>
      <w:r>
        <w:rPr>
          <w:b/>
          <w:bCs/>
          <w:spacing w:val="-3"/>
        </w:rPr>
        <w:t>6.1.3</w:t>
      </w:r>
      <w:r>
        <w:rPr>
          <w:spacing w:val="-3"/>
        </w:rPr>
        <w:t xml:space="preserve">  住宅外墙、外门窗空气声隔声性能应符合下列规定：</w:t>
      </w:r>
    </w:p>
    <w:p>
      <w:pPr>
        <w:pStyle w:val="BodyText"/>
        <w:ind w:left="15" w:right="57" w:firstLine="400"/>
        <w:spacing w:before="51" w:line="258" w:lineRule="auto"/>
        <w:rPr/>
      </w:pPr>
      <w:r>
        <w:rPr>
          <w:spacing w:val="22"/>
        </w:rPr>
        <w:t>1</w:t>
      </w:r>
      <w:r>
        <w:rPr>
          <w:spacing w:val="7"/>
        </w:rPr>
        <w:t xml:space="preserve">  </w:t>
      </w:r>
      <w:r>
        <w:rPr>
          <w:spacing w:val="22"/>
        </w:rPr>
        <w:t>住宅外墙的计权隔声量与交通噪声频谱修正量之和</w:t>
      </w:r>
      <w:r>
        <w:rPr>
          <w:spacing w:val="1"/>
        </w:rPr>
        <w:t xml:space="preserve"> </w:t>
      </w:r>
      <w:r>
        <w:rPr>
          <w:rFonts w:ascii="Times New Roman" w:hAnsi="Times New Roman" w:eastAsia="Times New Roman" w:cs="Times New Roman"/>
          <w:spacing w:val="5"/>
        </w:rPr>
        <w:t>(</w:t>
      </w:r>
      <w:r>
        <w:rPr>
          <w:rFonts w:ascii="Times New Roman" w:hAnsi="Times New Roman" w:eastAsia="Times New Roman" w:cs="Times New Roman"/>
        </w:rPr>
        <w:t>Rw</w:t>
      </w:r>
      <w:r>
        <w:rPr>
          <w:rFonts w:ascii="Times New Roman" w:hAnsi="Times New Roman" w:eastAsia="Times New Roman" w:cs="Times New Roman"/>
          <w:spacing w:val="5"/>
        </w:rPr>
        <w:t>+C)     </w:t>
      </w:r>
      <w:r>
        <w:rPr>
          <w:spacing w:val="5"/>
        </w:rPr>
        <w:t>不应小于45</w:t>
      </w:r>
      <w:r>
        <w:rPr>
          <w:rFonts w:ascii="Times New Roman" w:hAnsi="Times New Roman" w:eastAsia="Times New Roman" w:cs="Times New Roman"/>
        </w:rPr>
        <w:t>dB</w:t>
      </w:r>
      <w:r>
        <w:rPr>
          <w:spacing w:val="5"/>
        </w:rPr>
        <w:t>。</w:t>
      </w:r>
    </w:p>
    <w:p>
      <w:pPr>
        <w:pStyle w:val="BodyText"/>
        <w:ind w:left="15" w:right="57" w:firstLine="400"/>
        <w:spacing w:before="30" w:line="275" w:lineRule="auto"/>
        <w:jc w:val="both"/>
        <w:rPr/>
      </w:pPr>
      <w:r>
        <w:rPr>
          <w:spacing w:val="4"/>
        </w:rPr>
        <w:t>2  临街住宅建筑朝交通干线侧卧室外门窗</w:t>
      </w:r>
      <w:r>
        <w:rPr>
          <w:spacing w:val="3"/>
        </w:rPr>
        <w:t>的计权隔声量与</w:t>
      </w:r>
      <w:r>
        <w:rPr/>
        <w:t xml:space="preserve"> </w:t>
      </w:r>
      <w:r>
        <w:rPr>
          <w:spacing w:val="6"/>
        </w:rPr>
        <w:t>交通噪声频谱修正量之和</w:t>
      </w:r>
      <w:r>
        <w:rPr>
          <w:rFonts w:ascii="Times New Roman" w:hAnsi="Times New Roman" w:eastAsia="Times New Roman" w:cs="Times New Roman"/>
          <w:spacing w:val="6"/>
        </w:rPr>
        <w:t>(</w:t>
      </w:r>
      <w:r>
        <w:rPr>
          <w:rFonts w:ascii="Times New Roman" w:hAnsi="Times New Roman" w:eastAsia="Times New Roman" w:cs="Times New Roman"/>
        </w:rPr>
        <w:t>Rw</w:t>
      </w:r>
      <w:r>
        <w:rPr>
          <w:rFonts w:ascii="Times New Roman" w:hAnsi="Times New Roman" w:eastAsia="Times New Roman" w:cs="Times New Roman"/>
          <w:spacing w:val="6"/>
        </w:rPr>
        <w:t>+C)      </w:t>
      </w:r>
      <w:r>
        <w:rPr>
          <w:spacing w:val="6"/>
        </w:rPr>
        <w:t>不应小于35</w:t>
      </w:r>
      <w:r>
        <w:rPr>
          <w:rFonts w:ascii="Times New Roman" w:hAnsi="Times New Roman" w:eastAsia="Times New Roman" w:cs="Times New Roman"/>
        </w:rPr>
        <w:t>dB</w:t>
      </w:r>
      <w:r>
        <w:rPr>
          <w:rFonts w:ascii="Times New Roman" w:hAnsi="Times New Roman" w:eastAsia="Times New Roman" w:cs="Times New Roman"/>
          <w:spacing w:val="6"/>
        </w:rPr>
        <w:t>;  </w:t>
      </w:r>
      <w:r>
        <w:rPr>
          <w:spacing w:val="6"/>
        </w:rPr>
        <w:t>其他外门</w:t>
      </w:r>
      <w:r>
        <w:rPr>
          <w:spacing w:val="15"/>
        </w:rPr>
        <w:t xml:space="preserve"> </w:t>
      </w:r>
      <w:r>
        <w:rPr>
          <w:spacing w:val="2"/>
        </w:rPr>
        <w:t>窗的计权隔声量与交通噪声频谱修正量之和</w:t>
      </w:r>
      <w:r>
        <w:rPr>
          <w:rFonts w:ascii="Times New Roman" w:hAnsi="Times New Roman" w:eastAsia="Times New Roman" w:cs="Times New Roman"/>
          <w:spacing w:val="2"/>
        </w:rPr>
        <w:t>(</w:t>
      </w:r>
      <w:r>
        <w:rPr>
          <w:rFonts w:ascii="Times New Roman" w:hAnsi="Times New Roman" w:eastAsia="Times New Roman" w:cs="Times New Roman"/>
        </w:rPr>
        <w:t>Rw</w:t>
      </w:r>
      <w:r>
        <w:rPr>
          <w:rFonts w:ascii="Times New Roman" w:hAnsi="Times New Roman" w:eastAsia="Times New Roman" w:cs="Times New Roman"/>
          <w:spacing w:val="2"/>
        </w:rPr>
        <w:t>+C)     </w:t>
      </w:r>
      <w:r>
        <w:rPr>
          <w:spacing w:val="2"/>
        </w:rPr>
        <w:t>不应小于</w:t>
      </w:r>
      <w:r>
        <w:rPr>
          <w:spacing w:val="4"/>
        </w:rPr>
        <w:t xml:space="preserve"> </w:t>
      </w:r>
      <w:r>
        <w:rPr>
          <w:rFonts w:ascii="Times New Roman" w:hAnsi="Times New Roman" w:eastAsia="Times New Roman" w:cs="Times New Roman"/>
          <w:spacing w:val="-2"/>
        </w:rPr>
        <w:t>30dB</w:t>
      </w:r>
      <w:r>
        <w:rPr>
          <w:spacing w:val="-2"/>
        </w:rPr>
        <w:t>。</w:t>
      </w:r>
    </w:p>
    <w:p>
      <w:pPr>
        <w:spacing w:line="275" w:lineRule="auto"/>
        <w:sectPr>
          <w:footerReference w:type="default" r:id="rId19"/>
          <w:pgSz w:w="7940" w:h="11500"/>
          <w:pgMar w:top="977" w:right="984" w:bottom="1011" w:left="1024" w:header="0" w:footer="867" w:gutter="0"/>
        </w:sectPr>
        <w:rPr/>
      </w:pPr>
    </w:p>
    <w:p>
      <w:pPr>
        <w:pStyle w:val="BodyText"/>
        <w:ind w:left="5" w:right="75"/>
        <w:spacing w:before="38" w:line="288" w:lineRule="auto"/>
        <w:jc w:val="both"/>
        <w:rPr>
          <w:sz w:val="20"/>
          <w:szCs w:val="20"/>
        </w:rPr>
      </w:pPr>
      <w:bookmarkStart w:name="bookmark34" w:id="26"/>
      <w:bookmarkEnd w:id="26"/>
      <w:r>
        <w:rPr>
          <w:sz w:val="20"/>
          <w:szCs w:val="20"/>
          <w:spacing w:val="12"/>
        </w:rPr>
        <w:t>6.1.4  与卧室相邻的卫生间内，排水立管</w:t>
      </w:r>
      <w:r>
        <w:rPr>
          <w:sz w:val="20"/>
          <w:szCs w:val="20"/>
          <w:spacing w:val="11"/>
        </w:rPr>
        <w:t>不应贴邻与卧室共用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8"/>
        </w:rPr>
        <w:t>的墙体，且应采取隔声包覆处理措施。上层卫生间排水时，在卧</w:t>
      </w:r>
      <w:r>
        <w:rPr>
          <w:sz w:val="20"/>
          <w:szCs w:val="20"/>
          <w:spacing w:val="10"/>
        </w:rPr>
        <w:t xml:space="preserve"> </w:t>
      </w:r>
      <w:r>
        <w:rPr>
          <w:sz w:val="20"/>
          <w:szCs w:val="20"/>
          <w:spacing w:val="9"/>
        </w:rPr>
        <w:t>室内测得的排水噪声等效声级不应大于33</w:t>
      </w:r>
      <w:r>
        <w:rPr>
          <w:sz w:val="20"/>
          <w:szCs w:val="20"/>
        </w:rPr>
        <w:t>dB</w:t>
      </w:r>
      <w:r>
        <w:rPr>
          <w:sz w:val="20"/>
          <w:szCs w:val="20"/>
          <w:spacing w:val="9"/>
        </w:rPr>
        <w:t>。</w:t>
      </w:r>
    </w:p>
    <w:p>
      <w:pPr>
        <w:pStyle w:val="BodyText"/>
        <w:ind w:left="2167"/>
        <w:spacing w:before="162" w:line="219" w:lineRule="auto"/>
        <w:outlineLvl w:val="1"/>
        <w:rPr>
          <w:sz w:val="20"/>
          <w:szCs w:val="20"/>
        </w:rPr>
      </w:pPr>
      <w:bookmarkStart w:name="bookmark17" w:id="27"/>
      <w:bookmarkEnd w:id="27"/>
      <w:r>
        <w:rPr>
          <w:sz w:val="20"/>
          <w:szCs w:val="20"/>
          <w:b/>
          <w:bCs/>
          <w:spacing w:val="-7"/>
        </w:rPr>
        <w:t>6.2</w:t>
      </w:r>
      <w:r>
        <w:rPr>
          <w:sz w:val="20"/>
          <w:szCs w:val="20"/>
          <w:spacing w:val="20"/>
        </w:rPr>
        <w:t xml:space="preserve">  </w:t>
      </w:r>
      <w:r>
        <w:rPr>
          <w:sz w:val="20"/>
          <w:szCs w:val="20"/>
          <w:b/>
          <w:bCs/>
          <w:spacing w:val="-7"/>
        </w:rPr>
        <w:t>光</w:t>
      </w:r>
      <w:r>
        <w:rPr>
          <w:sz w:val="20"/>
          <w:szCs w:val="20"/>
          <w:spacing w:val="12"/>
        </w:rPr>
        <w:t xml:space="preserve">  </w:t>
      </w:r>
      <w:r>
        <w:rPr>
          <w:sz w:val="20"/>
          <w:szCs w:val="20"/>
          <w:b/>
          <w:bCs/>
          <w:spacing w:val="-7"/>
        </w:rPr>
        <w:t>环</w:t>
      </w:r>
      <w:r>
        <w:rPr>
          <w:sz w:val="20"/>
          <w:szCs w:val="20"/>
          <w:spacing w:val="12"/>
        </w:rPr>
        <w:t xml:space="preserve">  </w:t>
      </w:r>
      <w:r>
        <w:rPr>
          <w:sz w:val="20"/>
          <w:szCs w:val="20"/>
          <w:b/>
          <w:bCs/>
          <w:spacing w:val="-7"/>
        </w:rPr>
        <w:t>境</w:t>
      </w:r>
    </w:p>
    <w:p>
      <w:pPr>
        <w:pStyle w:val="BodyText"/>
        <w:ind w:left="5"/>
        <w:spacing w:before="245" w:line="219" w:lineRule="auto"/>
        <w:rPr>
          <w:sz w:val="20"/>
          <w:szCs w:val="20"/>
        </w:rPr>
      </w:pPr>
      <w:r>
        <w:rPr>
          <w:sz w:val="20"/>
          <w:szCs w:val="20"/>
          <w:spacing w:val="7"/>
        </w:rPr>
        <w:t>6.2.1  每套住宅应至少有一个卧室或起居室能满足日照标准。</w:t>
      </w:r>
    </w:p>
    <w:p>
      <w:pPr>
        <w:pStyle w:val="BodyText"/>
        <w:ind w:left="5"/>
        <w:spacing w:before="61" w:line="219" w:lineRule="auto"/>
        <w:rPr>
          <w:sz w:val="20"/>
          <w:szCs w:val="20"/>
        </w:rPr>
      </w:pPr>
      <w:r>
        <w:rPr>
          <w:sz w:val="20"/>
          <w:szCs w:val="20"/>
          <w:spacing w:val="6"/>
        </w:rPr>
        <w:t>6.2.2  每套住宅卧室、起居室、厨房均应有直接采光。</w:t>
      </w:r>
    </w:p>
    <w:p>
      <w:pPr>
        <w:pStyle w:val="BodyText"/>
        <w:ind w:left="5"/>
        <w:spacing w:before="84" w:line="219" w:lineRule="auto"/>
        <w:rPr>
          <w:sz w:val="20"/>
          <w:szCs w:val="20"/>
        </w:rPr>
      </w:pPr>
      <w:r>
        <w:rPr>
          <w:sz w:val="20"/>
          <w:szCs w:val="20"/>
          <w:spacing w:val="18"/>
        </w:rPr>
        <w:t>6.2.3  住宅建筑公共区域的照度和一般显色指数不应低于表</w:t>
      </w:r>
    </w:p>
    <w:p>
      <w:pPr>
        <w:pStyle w:val="BodyText"/>
        <w:ind w:left="5"/>
        <w:spacing w:before="73" w:line="219" w:lineRule="auto"/>
        <w:rPr>
          <w:sz w:val="20"/>
          <w:szCs w:val="20"/>
        </w:rPr>
      </w:pPr>
      <w:r>
        <w:rPr>
          <w:sz w:val="20"/>
          <w:szCs w:val="20"/>
          <w:spacing w:val="9"/>
        </w:rPr>
        <w:t>6.2.3规定的标准值。</w:t>
      </w:r>
    </w:p>
    <w:p>
      <w:pPr>
        <w:ind w:left="727"/>
        <w:spacing w:before="138" w:line="221" w:lineRule="auto"/>
        <w:rPr>
          <w:rFonts w:ascii="SimHei" w:hAnsi="SimHei" w:eastAsia="SimHei" w:cs="SimHei"/>
          <w:sz w:val="20"/>
          <w:szCs w:val="20"/>
        </w:rPr>
      </w:pP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表6.2.3</w:t>
      </w:r>
      <w:r>
        <w:rPr>
          <w:rFonts w:ascii="SimHei" w:hAnsi="SimHei" w:eastAsia="SimHei" w:cs="SimHei"/>
          <w:sz w:val="20"/>
          <w:szCs w:val="20"/>
          <w:spacing w:val="58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17"/>
        </w:rPr>
        <w:t>住宅建筑公共区域照度和一般显色指数标准值</w:t>
      </w:r>
    </w:p>
    <w:p>
      <w:pPr>
        <w:spacing w:line="72" w:lineRule="exact"/>
        <w:rPr/>
      </w:pPr>
      <w:r/>
    </w:p>
    <w:tbl>
      <w:tblPr>
        <w:tblStyle w:val="TableNormal"/>
        <w:tblW w:w="587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634"/>
        <w:gridCol w:w="878"/>
        <w:gridCol w:w="1428"/>
        <w:gridCol w:w="1428"/>
        <w:gridCol w:w="1502"/>
      </w:tblGrid>
      <w:tr>
        <w:trPr>
          <w:trHeight w:val="303" w:hRule="atLeast"/>
        </w:trPr>
        <w:tc>
          <w:tcPr>
            <w:tcW w:w="1512" w:type="dxa"/>
            <w:vAlign w:val="top"/>
            <w:gridSpan w:val="2"/>
          </w:tcPr>
          <w:p>
            <w:pPr>
              <w:pStyle w:val="TableText"/>
              <w:ind w:left="344"/>
              <w:spacing w:before="72" w:line="220" w:lineRule="auto"/>
              <w:rPr/>
            </w:pPr>
            <w:r>
              <w:rPr>
                <w:spacing w:val="-2"/>
              </w:rPr>
              <w:t>房间或场所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63"/>
              <w:spacing w:before="71" w:line="219" w:lineRule="auto"/>
              <w:rPr/>
            </w:pPr>
            <w:r>
              <w:rPr>
                <w:spacing w:val="-1"/>
              </w:rPr>
              <w:t>参考平面及其高度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145"/>
              <w:spacing w:before="71" w:line="219" w:lineRule="auto"/>
              <w:rPr/>
            </w:pPr>
            <w:r>
              <w:rPr>
                <w:spacing w:val="5"/>
              </w:rPr>
              <w:t>照度标准值(</w:t>
            </w:r>
            <w:r>
              <w:rPr/>
              <w:t>lx</w:t>
            </w:r>
            <w:r>
              <w:rPr>
                <w:spacing w:val="5"/>
              </w:rPr>
              <w:t>)</w:t>
            </w:r>
          </w:p>
        </w:tc>
        <w:tc>
          <w:tcPr>
            <w:tcW w:w="1502" w:type="dxa"/>
            <w:vAlign w:val="top"/>
          </w:tcPr>
          <w:p>
            <w:pPr>
              <w:pStyle w:val="TableText"/>
              <w:ind w:left="227"/>
              <w:spacing w:before="71" w:line="219" w:lineRule="auto"/>
              <w:rPr/>
            </w:pPr>
            <w:r>
              <w:rPr>
                <w:spacing w:val="-2"/>
              </w:rPr>
              <w:t>一般显色指数R</w:t>
            </w:r>
          </w:p>
        </w:tc>
      </w:tr>
      <w:tr>
        <w:trPr>
          <w:trHeight w:val="308" w:hRule="atLeast"/>
        </w:trPr>
        <w:tc>
          <w:tcPr>
            <w:tcW w:w="1512" w:type="dxa"/>
            <w:vAlign w:val="top"/>
            <w:gridSpan w:val="2"/>
          </w:tcPr>
          <w:p>
            <w:pPr>
              <w:pStyle w:val="TableText"/>
              <w:ind w:left="425"/>
              <w:spacing w:before="79" w:line="220" w:lineRule="auto"/>
              <w:rPr/>
            </w:pPr>
            <w:r>
              <w:rPr>
                <w:spacing w:val="2"/>
              </w:rPr>
              <w:t>电梯前厅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43"/>
              <w:spacing w:before="79" w:line="221" w:lineRule="auto"/>
              <w:rPr/>
            </w:pPr>
            <w:r>
              <w:rPr>
                <w:spacing w:val="-2"/>
              </w:rPr>
              <w:t>地面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625"/>
              <w:spacing w:before="94" w:line="235" w:lineRule="auto"/>
              <w:rPr/>
            </w:pPr>
            <w:r>
              <w:rPr>
                <w:spacing w:val="-3"/>
              </w:rPr>
              <w:t>75</w:t>
            </w:r>
          </w:p>
        </w:tc>
        <w:tc>
          <w:tcPr>
            <w:tcW w:w="1502" w:type="dxa"/>
            <w:vAlign w:val="top"/>
          </w:tcPr>
          <w:p>
            <w:pPr>
              <w:pStyle w:val="TableText"/>
              <w:ind w:left="666"/>
              <w:spacing w:before="94" w:line="235" w:lineRule="auto"/>
              <w:rPr/>
            </w:pPr>
            <w:r>
              <w:rPr>
                <w:spacing w:val="-2"/>
              </w:rPr>
              <w:t>60</w:t>
            </w:r>
          </w:p>
        </w:tc>
      </w:tr>
      <w:tr>
        <w:trPr>
          <w:trHeight w:val="318" w:hRule="atLeast"/>
        </w:trPr>
        <w:tc>
          <w:tcPr>
            <w:tcW w:w="1512" w:type="dxa"/>
            <w:vAlign w:val="top"/>
            <w:gridSpan w:val="2"/>
          </w:tcPr>
          <w:p>
            <w:pPr>
              <w:pStyle w:val="TableText"/>
              <w:ind w:left="265"/>
              <w:spacing w:before="80" w:line="219" w:lineRule="auto"/>
              <w:rPr/>
            </w:pPr>
            <w:r>
              <w:rPr>
                <w:spacing w:val="2"/>
              </w:rPr>
              <w:t>走道、楼梯间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43"/>
              <w:spacing w:before="81" w:line="221" w:lineRule="auto"/>
              <w:rPr/>
            </w:pPr>
            <w:r>
              <w:rPr>
                <w:spacing w:val="-2"/>
              </w:rPr>
              <w:t>地面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85"/>
              <w:spacing w:before="96"/>
              <w:rPr/>
            </w:pPr>
            <w:r>
              <w:rPr>
                <w:spacing w:val="-5"/>
              </w:rPr>
              <w:t>100</w:t>
            </w:r>
          </w:p>
        </w:tc>
        <w:tc>
          <w:tcPr>
            <w:tcW w:w="1502" w:type="dxa"/>
            <w:vAlign w:val="top"/>
          </w:tcPr>
          <w:p>
            <w:pPr>
              <w:pStyle w:val="TableText"/>
              <w:ind w:left="666"/>
              <w:spacing w:before="96"/>
              <w:rPr/>
            </w:pPr>
            <w:r>
              <w:rPr>
                <w:spacing w:val="-2"/>
              </w:rPr>
              <w:t>60</w:t>
            </w:r>
          </w:p>
        </w:tc>
      </w:tr>
      <w:tr>
        <w:trPr>
          <w:trHeight w:val="308" w:hRule="atLeast"/>
        </w:trPr>
        <w:tc>
          <w:tcPr>
            <w:tcW w:w="63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64"/>
              <w:spacing w:before="242" w:line="219" w:lineRule="auto"/>
              <w:rPr/>
            </w:pPr>
            <w:r>
              <w:rPr>
                <w:spacing w:val="-2"/>
              </w:rPr>
              <w:t>车库</w:t>
            </w:r>
          </w:p>
        </w:tc>
        <w:tc>
          <w:tcPr>
            <w:tcW w:w="878" w:type="dxa"/>
            <w:vAlign w:val="top"/>
          </w:tcPr>
          <w:p>
            <w:pPr>
              <w:pStyle w:val="TableText"/>
              <w:ind w:left="271"/>
              <w:spacing w:before="82" w:line="219" w:lineRule="auto"/>
              <w:rPr/>
            </w:pPr>
            <w:r>
              <w:rPr>
                <w:spacing w:val="-2"/>
              </w:rPr>
              <w:t>车位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43"/>
              <w:spacing w:before="83" w:line="221" w:lineRule="auto"/>
              <w:rPr/>
            </w:pPr>
            <w:r>
              <w:rPr>
                <w:spacing w:val="-2"/>
              </w:rPr>
              <w:t>地面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625"/>
              <w:spacing w:before="98" w:line="230" w:lineRule="auto"/>
              <w:rPr/>
            </w:pPr>
            <w:r>
              <w:rPr>
                <w:spacing w:val="-3"/>
              </w:rPr>
              <w:t>30</w:t>
            </w:r>
          </w:p>
        </w:tc>
        <w:tc>
          <w:tcPr>
            <w:tcW w:w="1502" w:type="dxa"/>
            <w:vAlign w:val="top"/>
          </w:tcPr>
          <w:p>
            <w:pPr>
              <w:pStyle w:val="TableText"/>
              <w:ind w:left="666"/>
              <w:spacing w:before="98" w:line="230" w:lineRule="auto"/>
              <w:rPr/>
            </w:pPr>
            <w:r>
              <w:rPr>
                <w:spacing w:val="-2"/>
              </w:rPr>
              <w:t>60</w:t>
            </w:r>
          </w:p>
        </w:tc>
      </w:tr>
      <w:tr>
        <w:trPr>
          <w:trHeight w:val="312" w:hRule="atLeast"/>
        </w:trPr>
        <w:tc>
          <w:tcPr>
            <w:tcW w:w="63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78" w:type="dxa"/>
            <w:vAlign w:val="top"/>
          </w:tcPr>
          <w:p>
            <w:pPr>
              <w:pStyle w:val="TableText"/>
              <w:ind w:left="271"/>
              <w:spacing w:before="84" w:line="219" w:lineRule="auto"/>
              <w:rPr/>
            </w:pPr>
            <w:r>
              <w:rPr>
                <w:spacing w:val="-2"/>
              </w:rPr>
              <w:t>车道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543"/>
              <w:spacing w:before="85" w:line="221" w:lineRule="auto"/>
              <w:rPr/>
            </w:pPr>
            <w:r>
              <w:rPr>
                <w:spacing w:val="-2"/>
              </w:rPr>
              <w:t>地面</w:t>
            </w:r>
          </w:p>
        </w:tc>
        <w:tc>
          <w:tcPr>
            <w:tcW w:w="1428" w:type="dxa"/>
            <w:vAlign w:val="top"/>
          </w:tcPr>
          <w:p>
            <w:pPr>
              <w:pStyle w:val="TableText"/>
              <w:ind w:left="625"/>
              <w:spacing w:before="100" w:line="232" w:lineRule="auto"/>
              <w:rPr/>
            </w:pPr>
            <w:r>
              <w:rPr>
                <w:spacing w:val="-3"/>
              </w:rPr>
              <w:t>50</w:t>
            </w:r>
          </w:p>
        </w:tc>
        <w:tc>
          <w:tcPr>
            <w:tcW w:w="1502" w:type="dxa"/>
            <w:vAlign w:val="top"/>
          </w:tcPr>
          <w:p>
            <w:pPr>
              <w:pStyle w:val="TableText"/>
              <w:ind w:left="666"/>
              <w:spacing w:before="100" w:line="232" w:lineRule="auto"/>
              <w:rPr/>
            </w:pPr>
            <w:r>
              <w:rPr>
                <w:spacing w:val="-2"/>
              </w:rPr>
              <w:t>60</w:t>
            </w:r>
          </w:p>
        </w:tc>
      </w:tr>
    </w:tbl>
    <w:p>
      <w:pPr>
        <w:spacing w:line="284" w:lineRule="auto"/>
        <w:rPr>
          <w:rFonts w:ascii="Arial"/>
          <w:sz w:val="21"/>
        </w:rPr>
      </w:pPr>
      <w:r/>
    </w:p>
    <w:p>
      <w:pPr>
        <w:pStyle w:val="BodyText"/>
        <w:ind w:left="2167"/>
        <w:spacing w:before="65" w:line="220" w:lineRule="auto"/>
        <w:outlineLvl w:val="1"/>
        <w:rPr>
          <w:sz w:val="20"/>
          <w:szCs w:val="20"/>
        </w:rPr>
      </w:pPr>
      <w:bookmarkStart w:name="bookmark18" w:id="28"/>
      <w:bookmarkEnd w:id="28"/>
      <w:r>
        <w:rPr>
          <w:sz w:val="20"/>
          <w:szCs w:val="20"/>
          <w:b/>
          <w:bCs/>
          <w:spacing w:val="-7"/>
        </w:rPr>
        <w:t>6.3</w:t>
      </w:r>
      <w:r>
        <w:rPr>
          <w:sz w:val="20"/>
          <w:szCs w:val="20"/>
          <w:spacing w:val="14"/>
        </w:rPr>
        <w:t xml:space="preserve">  </w:t>
      </w:r>
      <w:r>
        <w:rPr>
          <w:sz w:val="20"/>
          <w:szCs w:val="20"/>
          <w:b/>
          <w:bCs/>
          <w:spacing w:val="-7"/>
        </w:rPr>
        <w:t>热</w:t>
      </w:r>
      <w:r>
        <w:rPr>
          <w:sz w:val="20"/>
          <w:szCs w:val="20"/>
          <w:spacing w:val="16"/>
        </w:rPr>
        <w:t xml:space="preserve">  </w:t>
      </w:r>
      <w:r>
        <w:rPr>
          <w:sz w:val="20"/>
          <w:szCs w:val="20"/>
          <w:b/>
          <w:bCs/>
          <w:spacing w:val="-7"/>
        </w:rPr>
        <w:t>环</w:t>
      </w:r>
      <w:r>
        <w:rPr>
          <w:sz w:val="20"/>
          <w:szCs w:val="20"/>
          <w:spacing w:val="9"/>
        </w:rPr>
        <w:t xml:space="preserve">  </w:t>
      </w:r>
      <w:r>
        <w:rPr>
          <w:sz w:val="20"/>
          <w:szCs w:val="20"/>
          <w:b/>
          <w:bCs/>
          <w:spacing w:val="-7"/>
        </w:rPr>
        <w:t>境</w:t>
      </w:r>
    </w:p>
    <w:p>
      <w:pPr>
        <w:pStyle w:val="BodyText"/>
        <w:ind w:left="5" w:right="91"/>
        <w:spacing w:before="242" w:line="271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0"/>
        </w:rPr>
        <w:t>6.3.1      </w:t>
      </w:r>
      <w:r>
        <w:rPr>
          <w:sz w:val="20"/>
          <w:szCs w:val="20"/>
          <w:spacing w:val="10"/>
        </w:rPr>
        <w:t>供暖住宅建筑的屋面、外墙、地面、与室外空</w:t>
      </w:r>
      <w:r>
        <w:rPr>
          <w:sz w:val="20"/>
          <w:szCs w:val="20"/>
          <w:spacing w:val="9"/>
        </w:rPr>
        <w:t>气直接接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16"/>
        </w:rPr>
        <w:t>触的楼面等的内表面在室内温、湿度设计条件下不应出现表面</w:t>
      </w:r>
      <w:r>
        <w:rPr>
          <w:sz w:val="20"/>
          <w:szCs w:val="20"/>
          <w:spacing w:val="15"/>
        </w:rPr>
        <w:t xml:space="preserve"> </w:t>
      </w:r>
      <w:r>
        <w:rPr>
          <w:sz w:val="20"/>
          <w:szCs w:val="20"/>
        </w:rPr>
        <w:t>结露。</w:t>
      </w:r>
    </w:p>
    <w:p>
      <w:pPr>
        <w:pStyle w:val="BodyText"/>
        <w:ind w:left="5" w:right="90"/>
        <w:spacing w:before="71" w:line="264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9"/>
        </w:rPr>
        <w:t>6.3.2      </w:t>
      </w:r>
      <w:r>
        <w:rPr>
          <w:sz w:val="20"/>
          <w:szCs w:val="20"/>
          <w:spacing w:val="9"/>
        </w:rPr>
        <w:t>夏季自然通风情况下，夏热冬暖、夏热冬冷和寒</w:t>
      </w:r>
      <w:r>
        <w:rPr>
          <w:sz w:val="20"/>
          <w:szCs w:val="20"/>
          <w:spacing w:val="8"/>
        </w:rPr>
        <w:t>冷</w:t>
      </w:r>
      <w:r>
        <w:rPr>
          <w:rFonts w:ascii="Times New Roman" w:hAnsi="Times New Roman" w:eastAsia="Times New Roman" w:cs="Times New Roman"/>
          <w:sz w:val="20"/>
          <w:szCs w:val="20"/>
          <w:spacing w:val="8"/>
        </w:rPr>
        <w:t>B</w:t>
      </w:r>
      <w:r>
        <w:rPr>
          <w:rFonts w:ascii="Times New Roman" w:hAnsi="Times New Roman" w:eastAsia="Times New Roman" w:cs="Times New Roman"/>
          <w:sz w:val="20"/>
          <w:szCs w:val="20"/>
          <w:spacing w:val="31"/>
        </w:rPr>
        <w:t xml:space="preserve"> </w:t>
      </w:r>
      <w:r>
        <w:rPr>
          <w:sz w:val="20"/>
          <w:szCs w:val="20"/>
          <w:spacing w:val="8"/>
        </w:rPr>
        <w:t>区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9"/>
        </w:rPr>
        <w:t>住宅建筑的外墙、屋面的内表面温度不应高于室外空气温</w:t>
      </w:r>
      <w:r>
        <w:rPr>
          <w:sz w:val="20"/>
          <w:szCs w:val="20"/>
          <w:spacing w:val="8"/>
        </w:rPr>
        <w:t>度的最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高值。</w:t>
      </w:r>
    </w:p>
    <w:p>
      <w:pPr>
        <w:pStyle w:val="BodyText"/>
        <w:ind w:left="5"/>
        <w:spacing w:before="82" w:line="262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2"/>
        </w:rPr>
        <w:t>6.3.3      </w:t>
      </w:r>
      <w:r>
        <w:rPr>
          <w:sz w:val="20"/>
          <w:szCs w:val="20"/>
          <w:spacing w:val="12"/>
        </w:rPr>
        <w:t>每套住宅的自然通风开口面积不应小于地面面积的5%。</w:t>
      </w:r>
      <w:r>
        <w:rPr>
          <w:sz w:val="20"/>
          <w:szCs w:val="20"/>
          <w:spacing w:val="7"/>
        </w:rPr>
        <w:t xml:space="preserve"> </w:t>
      </w:r>
      <w:r>
        <w:rPr>
          <w:sz w:val="20"/>
          <w:szCs w:val="20"/>
          <w:spacing w:val="7"/>
        </w:rPr>
        <w:t>卧室、起居室、厨房应能自然通风，并应符合下列规定：</w:t>
      </w:r>
    </w:p>
    <w:p>
      <w:pPr>
        <w:pStyle w:val="BodyText"/>
        <w:ind w:left="5" w:right="80" w:firstLine="430"/>
        <w:spacing w:before="73" w:line="258" w:lineRule="auto"/>
        <w:rPr>
          <w:sz w:val="20"/>
          <w:szCs w:val="20"/>
        </w:rPr>
      </w:pPr>
      <w:r>
        <w:rPr>
          <w:sz w:val="20"/>
          <w:szCs w:val="20"/>
          <w:spacing w:val="12"/>
        </w:rPr>
        <w:t>1</w:t>
      </w:r>
      <w:r>
        <w:rPr>
          <w:sz w:val="20"/>
          <w:szCs w:val="20"/>
          <w:spacing w:val="14"/>
        </w:rPr>
        <w:t xml:space="preserve">  </w:t>
      </w:r>
      <w:r>
        <w:rPr>
          <w:sz w:val="20"/>
          <w:szCs w:val="20"/>
          <w:spacing w:val="12"/>
        </w:rPr>
        <w:t>卧室、起居室的直接白然通风开口面积不应小于该房间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19"/>
        </w:rPr>
        <w:t>地面面积的5%;当房间外设置阳台时，阳台的自然通风开口面</w:t>
      </w:r>
      <w:r>
        <w:rPr>
          <w:sz w:val="20"/>
          <w:szCs w:val="20"/>
          <w:spacing w:val="15"/>
        </w:rPr>
        <w:t xml:space="preserve"> </w:t>
      </w:r>
      <w:r>
        <w:rPr>
          <w:sz w:val="20"/>
          <w:szCs w:val="20"/>
          <w:spacing w:val="14"/>
        </w:rPr>
        <w:t>积不应小于房间和阳台地面面积总和的5%。</w:t>
      </w:r>
    </w:p>
    <w:p>
      <w:pPr>
        <w:pStyle w:val="BodyText"/>
        <w:ind w:left="435"/>
        <w:spacing w:before="62" w:line="220" w:lineRule="auto"/>
        <w:rPr>
          <w:sz w:val="20"/>
          <w:szCs w:val="20"/>
        </w:rPr>
      </w:pPr>
      <w:r>
        <w:rPr>
          <w:sz w:val="20"/>
          <w:szCs w:val="20"/>
          <w:spacing w:val="22"/>
        </w:rPr>
        <w:t>2</w:t>
      </w:r>
      <w:r>
        <w:rPr>
          <w:sz w:val="20"/>
          <w:szCs w:val="20"/>
          <w:spacing w:val="8"/>
        </w:rPr>
        <w:t xml:space="preserve">  </w:t>
      </w:r>
      <w:r>
        <w:rPr>
          <w:sz w:val="20"/>
          <w:szCs w:val="20"/>
          <w:spacing w:val="22"/>
        </w:rPr>
        <w:t>厨房的自然通风开口面积不应小于该房间地面面积的</w:t>
      </w:r>
    </w:p>
    <w:p>
      <w:pPr>
        <w:spacing w:line="220" w:lineRule="auto"/>
        <w:sectPr>
          <w:footerReference w:type="default" r:id="rId20"/>
          <w:pgSz w:w="7940" w:h="11500"/>
          <w:pgMar w:top="868" w:right="969" w:bottom="1039" w:left="1024" w:header="0" w:footer="859" w:gutter="0"/>
        </w:sectPr>
        <w:rPr>
          <w:sz w:val="20"/>
          <w:szCs w:val="20"/>
        </w:rPr>
      </w:pPr>
    </w:p>
    <w:p>
      <w:pPr>
        <w:pStyle w:val="BodyText"/>
        <w:spacing w:before="42" w:line="281" w:lineRule="auto"/>
        <w:jc w:val="both"/>
        <w:rPr/>
      </w:pPr>
      <w:bookmarkStart w:name="bookmark35" w:id="29"/>
      <w:bookmarkEnd w:id="29"/>
      <w:r>
        <w:rPr>
          <w:spacing w:val="11"/>
        </w:rPr>
        <w:t>10%,且不应小于0.60</w:t>
      </w:r>
      <w:r>
        <w:rPr>
          <w:rFonts w:ascii="Times New Roman" w:hAnsi="Times New Roman" w:eastAsia="Times New Roman" w:cs="Times New Roman"/>
          <w:spacing w:val="11"/>
        </w:rPr>
        <w:t>m²;</w:t>
      </w:r>
      <w:r>
        <w:rPr>
          <w:rFonts w:ascii="Times New Roman" w:hAnsi="Times New Roman" w:eastAsia="Times New Roman" w:cs="Times New Roman"/>
          <w:spacing w:val="5"/>
        </w:rPr>
        <w:t xml:space="preserve">   </w:t>
      </w:r>
      <w:r>
        <w:rPr>
          <w:spacing w:val="11"/>
        </w:rPr>
        <w:t>当厨房外设置阳台时，阳台的自然</w:t>
      </w:r>
      <w:r>
        <w:rPr>
          <w:spacing w:val="1"/>
        </w:rPr>
        <w:t xml:space="preserve"> </w:t>
      </w:r>
      <w:r>
        <w:rPr>
          <w:spacing w:val="14"/>
        </w:rPr>
        <w:t>通风开口面积不应小于厨房和阳台地面面积总和的10%,且不</w:t>
      </w:r>
      <w:r>
        <w:rPr>
          <w:spacing w:val="8"/>
        </w:rPr>
        <w:t xml:space="preserve"> </w:t>
      </w:r>
      <w:r>
        <w:rPr>
          <w:spacing w:val="2"/>
        </w:rPr>
        <w:t>应小于0.60</w:t>
      </w:r>
      <w:r>
        <w:rPr>
          <w:rFonts w:ascii="Times New Roman" w:hAnsi="Times New Roman" w:eastAsia="Times New Roman" w:cs="Times New Roman"/>
          <w:spacing w:val="2"/>
        </w:rPr>
        <w:t>m²</w:t>
      </w:r>
      <w:r>
        <w:rPr>
          <w:spacing w:val="2"/>
        </w:rPr>
        <w:t>。</w:t>
      </w:r>
    </w:p>
    <w:p>
      <w:pPr>
        <w:spacing w:line="281" w:lineRule="auto"/>
        <w:sectPr>
          <w:footerReference w:type="default" r:id="rId21"/>
          <w:pgSz w:w="7940" w:h="11500"/>
          <w:pgMar w:top="831" w:right="1038" w:bottom="1011" w:left="1039" w:header="0" w:footer="867" w:gutter="0"/>
        </w:sectPr>
        <w:rPr/>
      </w:pPr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2" w:lineRule="auto"/>
        <w:rPr>
          <w:rFonts w:ascii="Arial"/>
          <w:sz w:val="21"/>
        </w:rPr>
      </w:pPr>
      <w:r/>
    </w:p>
    <w:p>
      <w:pPr>
        <w:pStyle w:val="BodyText"/>
        <w:ind w:left="1964"/>
        <w:spacing w:before="94" w:line="220" w:lineRule="auto"/>
        <w:outlineLvl w:val="0"/>
        <w:rPr>
          <w:sz w:val="29"/>
          <w:szCs w:val="29"/>
        </w:rPr>
      </w:pPr>
      <w:bookmarkStart w:name="bookmark36" w:id="30"/>
      <w:bookmarkEnd w:id="30"/>
      <w:bookmarkStart w:name="bookmark19" w:id="31"/>
      <w:bookmarkEnd w:id="31"/>
      <w:r>
        <w:rPr>
          <w:sz w:val="29"/>
          <w:szCs w:val="29"/>
          <w:b/>
          <w:bCs/>
          <w:spacing w:val="-11"/>
        </w:rPr>
        <w:t>7</w:t>
      </w:r>
      <w:r>
        <w:rPr>
          <w:sz w:val="29"/>
          <w:szCs w:val="29"/>
          <w:spacing w:val="-11"/>
        </w:rPr>
        <w:t xml:space="preserve">  </w:t>
      </w:r>
      <w:r>
        <w:rPr>
          <w:sz w:val="29"/>
          <w:szCs w:val="29"/>
          <w:b/>
          <w:bCs/>
          <w:spacing w:val="-11"/>
        </w:rPr>
        <w:t>建</w:t>
      </w:r>
      <w:r>
        <w:rPr>
          <w:sz w:val="29"/>
          <w:szCs w:val="29"/>
          <w:spacing w:val="-11"/>
        </w:rPr>
        <w:t xml:space="preserve"> </w:t>
      </w:r>
      <w:r>
        <w:rPr>
          <w:sz w:val="29"/>
          <w:szCs w:val="29"/>
          <w:b/>
          <w:bCs/>
          <w:spacing w:val="-11"/>
        </w:rPr>
        <w:t>筑</w:t>
      </w:r>
      <w:r>
        <w:rPr>
          <w:sz w:val="29"/>
          <w:szCs w:val="29"/>
          <w:spacing w:val="-11"/>
        </w:rPr>
        <w:t xml:space="preserve"> </w:t>
      </w:r>
      <w:r>
        <w:rPr>
          <w:sz w:val="29"/>
          <w:szCs w:val="29"/>
          <w:b/>
          <w:bCs/>
          <w:spacing w:val="-11"/>
        </w:rPr>
        <w:t>设</w:t>
      </w:r>
      <w:r>
        <w:rPr>
          <w:sz w:val="29"/>
          <w:szCs w:val="29"/>
          <w:spacing w:val="-11"/>
        </w:rPr>
        <w:t xml:space="preserve"> </w:t>
      </w:r>
      <w:r>
        <w:rPr>
          <w:sz w:val="29"/>
          <w:szCs w:val="29"/>
          <w:b/>
          <w:bCs/>
          <w:spacing w:val="-11"/>
        </w:rPr>
        <w:t>备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pStyle w:val="BodyText"/>
        <w:ind w:left="2113"/>
        <w:spacing w:before="68" w:line="219" w:lineRule="auto"/>
        <w:outlineLvl w:val="1"/>
        <w:rPr/>
      </w:pPr>
      <w:bookmarkStart w:name="bookmark20" w:id="32"/>
      <w:bookmarkEnd w:id="32"/>
      <w:r>
        <w:rPr>
          <w:b/>
          <w:bCs/>
          <w:spacing w:val="-7"/>
        </w:rPr>
        <w:t>7.1</w:t>
      </w:r>
      <w:r>
        <w:rPr>
          <w:spacing w:val="7"/>
        </w:rPr>
        <w:t xml:space="preserve">  </w:t>
      </w:r>
      <w:r>
        <w:rPr>
          <w:b/>
          <w:bCs/>
          <w:spacing w:val="-7"/>
        </w:rPr>
        <w:t>给</w:t>
      </w:r>
      <w:r>
        <w:rPr>
          <w:spacing w:val="10"/>
        </w:rPr>
        <w:t xml:space="preserve"> </w:t>
      </w:r>
      <w:r>
        <w:rPr>
          <w:b/>
          <w:bCs/>
          <w:spacing w:val="-7"/>
        </w:rPr>
        <w:t>水</w:t>
      </w:r>
      <w:r>
        <w:rPr>
          <w:spacing w:val="-7"/>
        </w:rPr>
        <w:t xml:space="preserve"> </w:t>
      </w:r>
      <w:r>
        <w:rPr>
          <w:b/>
          <w:bCs/>
          <w:spacing w:val="-7"/>
        </w:rPr>
        <w:t>排</w:t>
      </w:r>
      <w:r>
        <w:rPr>
          <w:spacing w:val="10"/>
        </w:rPr>
        <w:t xml:space="preserve"> </w:t>
      </w:r>
      <w:r>
        <w:rPr>
          <w:b/>
          <w:bCs/>
          <w:spacing w:val="-7"/>
        </w:rPr>
        <w:t>水</w:t>
      </w:r>
    </w:p>
    <w:p>
      <w:pPr>
        <w:pStyle w:val="BodyText"/>
        <w:ind w:left="3"/>
        <w:spacing w:before="233" w:line="219" w:lineRule="auto"/>
        <w:rPr/>
      </w:pPr>
      <w:r>
        <w:rPr>
          <w:b/>
          <w:bCs/>
          <w:spacing w:val="-4"/>
        </w:rPr>
        <w:t>7.1.1</w:t>
      </w:r>
      <w:r>
        <w:rPr>
          <w:spacing w:val="104"/>
        </w:rPr>
        <w:t xml:space="preserve"> </w:t>
      </w:r>
      <w:r>
        <w:rPr>
          <w:spacing w:val="-4"/>
        </w:rPr>
        <w:t>住宅应设给水排水系统。</w:t>
      </w:r>
    </w:p>
    <w:p>
      <w:pPr>
        <w:pStyle w:val="BodyText"/>
        <w:spacing w:before="71" w:line="219" w:lineRule="auto"/>
        <w:rPr/>
      </w:pPr>
      <w:r>
        <w:rPr>
          <w:rFonts w:ascii="Times New Roman" w:hAnsi="Times New Roman" w:eastAsia="Times New Roman" w:cs="Times New Roman"/>
          <w:b/>
          <w:bCs/>
          <w:spacing w:val="2"/>
        </w:rPr>
        <w:t>7.1.2     </w:t>
      </w:r>
      <w:r>
        <w:rPr>
          <w:spacing w:val="2"/>
        </w:rPr>
        <w:t>住宅套内分户用水点的给水压力不应小于0.1</w:t>
      </w:r>
      <w:r>
        <w:rPr/>
        <w:t>MPa</w:t>
      </w:r>
      <w:r>
        <w:rPr>
          <w:spacing w:val="2"/>
        </w:rPr>
        <w:t>。</w:t>
      </w:r>
    </w:p>
    <w:p>
      <w:pPr>
        <w:pStyle w:val="BodyText"/>
        <w:ind w:right="4" w:firstLine="3"/>
        <w:spacing w:before="50" w:line="255" w:lineRule="auto"/>
        <w:rPr/>
      </w:pPr>
      <w:r>
        <w:rPr>
          <w:b/>
          <w:bCs/>
          <w:spacing w:val="3"/>
        </w:rPr>
        <w:t>7.1.3</w:t>
      </w:r>
      <w:r>
        <w:rPr>
          <w:spacing w:val="3"/>
        </w:rPr>
        <w:t xml:space="preserve">  住宅建筑用水应分类、分户计</w:t>
      </w:r>
      <w:r>
        <w:rPr>
          <w:spacing w:val="2"/>
        </w:rPr>
        <w:t>量，水表设置位置应便于</w:t>
      </w:r>
      <w:r>
        <w:rPr/>
        <w:t xml:space="preserve"> </w:t>
      </w:r>
      <w:r>
        <w:rPr>
          <w:spacing w:val="-4"/>
        </w:rPr>
        <w:t>管理、安装、使用和检修。</w:t>
      </w:r>
    </w:p>
    <w:p>
      <w:pPr>
        <w:pStyle w:val="BodyText"/>
        <w:ind w:firstLine="3"/>
        <w:spacing w:before="61" w:line="273" w:lineRule="auto"/>
        <w:rPr>
          <w:sz w:val="16"/>
          <w:szCs w:val="16"/>
        </w:rPr>
      </w:pPr>
      <w:r>
        <w:rPr>
          <w:b/>
          <w:bCs/>
          <w:spacing w:val="3"/>
        </w:rPr>
        <w:t>7.1.4</w:t>
      </w:r>
      <w:r>
        <w:rPr>
          <w:spacing w:val="105"/>
        </w:rPr>
        <w:t xml:space="preserve"> </w:t>
      </w:r>
      <w:r>
        <w:rPr>
          <w:spacing w:val="3"/>
        </w:rPr>
        <w:t>住宅应设生活热水系统或预留安装户式热水器的位置和</w:t>
      </w:r>
      <w:r>
        <w:rPr/>
        <w:t xml:space="preserve"> </w:t>
      </w:r>
      <w:r>
        <w:rPr>
          <w:sz w:val="16"/>
          <w:szCs w:val="16"/>
          <w:spacing w:val="-6"/>
        </w:rPr>
        <w:t>管</w:t>
      </w:r>
      <w:r>
        <w:rPr>
          <w:sz w:val="16"/>
          <w:szCs w:val="16"/>
          <w:spacing w:val="-12"/>
        </w:rPr>
        <w:t xml:space="preserve"> </w:t>
      </w:r>
      <w:r>
        <w:rPr>
          <w:sz w:val="16"/>
          <w:szCs w:val="16"/>
          <w:spacing w:val="-6"/>
        </w:rPr>
        <w:t>道</w:t>
      </w:r>
      <w:r>
        <w:rPr>
          <w:sz w:val="16"/>
          <w:szCs w:val="16"/>
          <w:spacing w:val="-18"/>
        </w:rPr>
        <w:t xml:space="preserve"> </w:t>
      </w:r>
      <w:r>
        <w:rPr>
          <w:sz w:val="16"/>
          <w:szCs w:val="16"/>
          <w:spacing w:val="-6"/>
        </w:rPr>
        <w:t>。</w:t>
      </w:r>
    </w:p>
    <w:p>
      <w:pPr>
        <w:pStyle w:val="BodyText"/>
        <w:ind w:left="3"/>
        <w:spacing w:before="93" w:line="219" w:lineRule="auto"/>
        <w:rPr/>
      </w:pPr>
      <w:r>
        <w:rPr>
          <w:b/>
          <w:bCs/>
          <w:spacing w:val="-3"/>
        </w:rPr>
        <w:t>7.1.5</w:t>
      </w:r>
      <w:r>
        <w:rPr>
          <w:spacing w:val="100"/>
        </w:rPr>
        <w:t xml:space="preserve"> </w:t>
      </w:r>
      <w:r>
        <w:rPr>
          <w:spacing w:val="-3"/>
        </w:rPr>
        <w:t>厨房和卫生间的排水立管应分别设置。</w:t>
      </w:r>
    </w:p>
    <w:p>
      <w:pPr>
        <w:pStyle w:val="BodyText"/>
        <w:ind w:left="3"/>
        <w:spacing w:before="50" w:line="219" w:lineRule="auto"/>
        <w:rPr/>
      </w:pPr>
      <w:r>
        <w:rPr>
          <w:b/>
          <w:bCs/>
          <w:spacing w:val="-3"/>
        </w:rPr>
        <w:t>7.1.6</w:t>
      </w:r>
      <w:r>
        <w:rPr>
          <w:spacing w:val="99"/>
        </w:rPr>
        <w:t xml:space="preserve"> </w:t>
      </w:r>
      <w:r>
        <w:rPr>
          <w:spacing w:val="-3"/>
        </w:rPr>
        <w:t>排水管道不应穿越卧室。</w:t>
      </w:r>
    </w:p>
    <w:p>
      <w:pPr>
        <w:pStyle w:val="BodyText"/>
        <w:ind w:right="30"/>
        <w:spacing w:before="68" w:line="260" w:lineRule="auto"/>
        <w:rPr/>
      </w:pPr>
      <w:r>
        <w:rPr>
          <w:rFonts w:ascii="Times New Roman" w:hAnsi="Times New Roman" w:eastAsia="Times New Roman" w:cs="Times New Roman"/>
          <w:b/>
          <w:bCs/>
          <w:spacing w:val="3"/>
        </w:rPr>
        <w:t>7.1.7     </w:t>
      </w:r>
      <w:r>
        <w:rPr>
          <w:spacing w:val="3"/>
        </w:rPr>
        <w:t>设置淋浴器或洗衣机的部位应设地漏或排水设施，其水</w:t>
      </w:r>
      <w:r>
        <w:rPr>
          <w:spacing w:val="14"/>
        </w:rPr>
        <w:t xml:space="preserve"> </w:t>
      </w:r>
      <w:r>
        <w:rPr>
          <w:spacing w:val="2"/>
        </w:rPr>
        <w:t>封深度不应小于50</w:t>
      </w:r>
      <w:r>
        <w:rPr>
          <w:rFonts w:ascii="Times New Roman" w:hAnsi="Times New Roman" w:eastAsia="Times New Roman" w:cs="Times New Roman"/>
        </w:rPr>
        <w:t>mm</w:t>
      </w:r>
      <w:r>
        <w:rPr>
          <w:spacing w:val="2"/>
        </w:rPr>
        <w:t>。构造内无存水弯的卫生器具及无水封的</w:t>
      </w:r>
      <w:r>
        <w:rPr>
          <w:spacing w:val="4"/>
        </w:rPr>
        <w:t xml:space="preserve"> </w:t>
      </w:r>
      <w:r>
        <w:rPr>
          <w:spacing w:val="-2"/>
        </w:rPr>
        <w:t>地漏与生活排水管道连接时，在排水口以下应设存水弯，其水封</w:t>
      </w:r>
      <w:r>
        <w:rPr>
          <w:spacing w:val="13"/>
        </w:rPr>
        <w:t xml:space="preserve"> </w:t>
      </w:r>
      <w:r>
        <w:rPr>
          <w:spacing w:val="3"/>
        </w:rPr>
        <w:t>深度不得小于50</w:t>
      </w:r>
      <w:r>
        <w:rPr>
          <w:rFonts w:ascii="Times New Roman" w:hAnsi="Times New Roman" w:eastAsia="Times New Roman" w:cs="Times New Roman"/>
        </w:rPr>
        <w:t>mm</w:t>
      </w:r>
      <w:r>
        <w:rPr>
          <w:spacing w:val="3"/>
        </w:rPr>
        <w:t>。</w:t>
      </w:r>
    </w:p>
    <w:p>
      <w:pPr>
        <w:pStyle w:val="BodyText"/>
        <w:ind w:left="3"/>
        <w:spacing w:before="70" w:line="219" w:lineRule="auto"/>
        <w:rPr/>
      </w:pPr>
      <w:r>
        <w:rPr>
          <w:b/>
          <w:bCs/>
          <w:spacing w:val="-3"/>
        </w:rPr>
        <w:t>7.1.8</w:t>
      </w:r>
      <w:r>
        <w:rPr>
          <w:spacing w:val="103"/>
        </w:rPr>
        <w:t xml:space="preserve"> </w:t>
      </w:r>
      <w:r>
        <w:rPr>
          <w:spacing w:val="-3"/>
        </w:rPr>
        <w:t>生活污、废水不应排入雨水排水系统。</w:t>
      </w:r>
    </w:p>
    <w:p>
      <w:pPr>
        <w:pStyle w:val="BodyText"/>
        <w:ind w:right="8" w:firstLine="3"/>
        <w:spacing w:before="72" w:line="254" w:lineRule="auto"/>
        <w:rPr/>
      </w:pPr>
      <w:r>
        <w:rPr>
          <w:b/>
          <w:bCs/>
          <w:spacing w:val="3"/>
        </w:rPr>
        <w:t>7.1.9</w:t>
      </w:r>
      <w:r>
        <w:rPr>
          <w:spacing w:val="100"/>
        </w:rPr>
        <w:t xml:space="preserve"> </w:t>
      </w:r>
      <w:r>
        <w:rPr>
          <w:spacing w:val="3"/>
        </w:rPr>
        <w:t>住宅室内地面标高低于排水管接入的室外排水</w:t>
      </w:r>
      <w:r>
        <w:rPr>
          <w:spacing w:val="2"/>
        </w:rPr>
        <w:t>检查井井</w:t>
      </w:r>
      <w:r>
        <w:rPr/>
        <w:t xml:space="preserve"> </w:t>
      </w:r>
      <w:r>
        <w:rPr>
          <w:spacing w:val="-2"/>
        </w:rPr>
        <w:t>盖标高时，其卫生器具和地漏的排水应采用压力排水系统，并应</w:t>
      </w:r>
      <w:r>
        <w:rPr>
          <w:spacing w:val="14"/>
        </w:rPr>
        <w:t xml:space="preserve"> </w:t>
      </w:r>
      <w:r>
        <w:rPr>
          <w:spacing w:val="-4"/>
        </w:rPr>
        <w:t>采取防止倒灌的措施。</w:t>
      </w:r>
    </w:p>
    <w:p>
      <w:pPr>
        <w:pStyle w:val="BodyText"/>
        <w:ind w:left="1863"/>
        <w:spacing w:before="228" w:line="219" w:lineRule="auto"/>
        <w:outlineLvl w:val="1"/>
        <w:rPr/>
      </w:pPr>
      <w:bookmarkStart w:name="bookmark21" w:id="33"/>
      <w:bookmarkEnd w:id="33"/>
      <w:r>
        <w:rPr>
          <w:b/>
          <w:bCs/>
          <w:spacing w:val="-5"/>
        </w:rPr>
        <w:t>7.2</w:t>
      </w:r>
      <w:r>
        <w:rPr>
          <w:spacing w:val="102"/>
        </w:rPr>
        <w:t xml:space="preserve"> </w:t>
      </w:r>
      <w:r>
        <w:rPr>
          <w:b/>
          <w:bCs/>
          <w:spacing w:val="-5"/>
        </w:rPr>
        <w:t>供暖、通风与空调</w:t>
      </w:r>
    </w:p>
    <w:p>
      <w:pPr>
        <w:pStyle w:val="BodyText"/>
        <w:ind w:right="21"/>
        <w:spacing w:before="226" w:line="255" w:lineRule="auto"/>
        <w:rPr/>
      </w:pPr>
      <w:r>
        <w:rPr>
          <w:rFonts w:ascii="Times New Roman" w:hAnsi="Times New Roman" w:eastAsia="Times New Roman" w:cs="Times New Roman"/>
          <w:spacing w:val="3"/>
        </w:rPr>
        <w:t>7.2.1     </w:t>
      </w:r>
      <w:r>
        <w:rPr>
          <w:spacing w:val="3"/>
        </w:rPr>
        <w:t>严寒和寒冷地区的住宅建筑应设供暖设施。夏热冬冷地</w:t>
      </w:r>
      <w:r>
        <w:rPr>
          <w:spacing w:val="12"/>
        </w:rPr>
        <w:t xml:space="preserve"> </w:t>
      </w:r>
      <w:r>
        <w:rPr>
          <w:spacing w:val="-1"/>
        </w:rPr>
        <w:t>区的住宅建筑应设供暖、空调设施或预留安装位置。夏热冬暖地</w:t>
      </w:r>
      <w:r>
        <w:rPr>
          <w:spacing w:val="3"/>
        </w:rPr>
        <w:t xml:space="preserve"> </w:t>
      </w:r>
      <w:r>
        <w:rPr>
          <w:spacing w:val="-3"/>
        </w:rPr>
        <w:t>区的住宅建筑应设空调设施或预留安装位置。</w:t>
      </w:r>
    </w:p>
    <w:p>
      <w:pPr>
        <w:pStyle w:val="BodyText"/>
        <w:ind w:right="26"/>
        <w:spacing w:before="70" w:line="255" w:lineRule="auto"/>
        <w:rPr/>
      </w:pPr>
      <w:r>
        <w:rPr>
          <w:rFonts w:ascii="Times New Roman" w:hAnsi="Times New Roman" w:eastAsia="Times New Roman" w:cs="Times New Roman"/>
          <w:spacing w:val="4"/>
        </w:rPr>
        <w:t>7.2.2     </w:t>
      </w:r>
      <w:r>
        <w:rPr>
          <w:spacing w:val="4"/>
        </w:rPr>
        <w:t>住宅建筑采用集中供暖系统时，卧</w:t>
      </w:r>
      <w:r>
        <w:rPr>
          <w:spacing w:val="3"/>
        </w:rPr>
        <w:t>室、起居室和卫生间</w:t>
      </w:r>
      <w:r>
        <w:rPr/>
        <w:t xml:space="preserve"> </w:t>
      </w:r>
      <w:r>
        <w:rPr>
          <w:spacing w:val="10"/>
        </w:rPr>
        <w:t>冬季室内供暖计算温度不应低于18℃,厨房冬季</w:t>
      </w:r>
      <w:r>
        <w:rPr>
          <w:spacing w:val="9"/>
        </w:rPr>
        <w:t>室内供暖计算</w:t>
      </w:r>
      <w:r>
        <w:rPr/>
        <w:t xml:space="preserve"> </w:t>
      </w:r>
      <w:r>
        <w:rPr/>
        <w:t>温度不应低于15℃。</w:t>
      </w:r>
    </w:p>
    <w:p>
      <w:pPr>
        <w:spacing w:line="255" w:lineRule="auto"/>
        <w:sectPr>
          <w:footerReference w:type="default" r:id="rId22"/>
          <w:pgSz w:w="7940" w:h="11500"/>
          <w:pgMar w:top="977" w:right="1032" w:bottom="1011" w:left="1029" w:header="0" w:footer="867" w:gutter="0"/>
        </w:sectPr>
        <w:rPr/>
      </w:pPr>
    </w:p>
    <w:p>
      <w:pPr>
        <w:pStyle w:val="BodyText"/>
        <w:ind w:right="19"/>
        <w:spacing w:before="39" w:line="248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2"/>
        </w:rPr>
        <w:t>7.2.3      </w:t>
      </w:r>
      <w:r>
        <w:rPr>
          <w:sz w:val="20"/>
          <w:szCs w:val="20"/>
          <w:spacing w:val="12"/>
        </w:rPr>
        <w:t>住宅建筑采用集中供暖系统时，应采用热水作为热媒，</w:t>
      </w:r>
      <w:r>
        <w:rPr>
          <w:sz w:val="20"/>
          <w:szCs w:val="20"/>
          <w:spacing w:val="9"/>
        </w:rPr>
        <w:t xml:space="preserve"> </w:t>
      </w:r>
      <w:r>
        <w:rPr>
          <w:sz w:val="20"/>
          <w:szCs w:val="20"/>
          <w:spacing w:val="5"/>
        </w:rPr>
        <w:t>并应采取可靠的水质保证措施。</w:t>
      </w:r>
    </w:p>
    <w:p>
      <w:pPr>
        <w:pStyle w:val="BodyText"/>
        <w:spacing w:before="72" w:line="21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7"/>
        </w:rPr>
        <w:t>7.2.4      </w:t>
      </w:r>
      <w:r>
        <w:rPr>
          <w:sz w:val="20"/>
          <w:szCs w:val="20"/>
          <w:spacing w:val="7"/>
        </w:rPr>
        <w:t>住宅建筑设有供暖</w:t>
      </w:r>
      <w:r>
        <w:rPr>
          <w:sz w:val="20"/>
          <w:szCs w:val="20"/>
          <w:spacing w:val="6"/>
        </w:rPr>
        <w:t>系统时，应具有室内温度调节功能。</w:t>
      </w:r>
    </w:p>
    <w:p>
      <w:pPr>
        <w:pStyle w:val="BodyText"/>
        <w:spacing w:before="92" w:line="21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7"/>
        </w:rPr>
        <w:t>7.2.5      </w:t>
      </w:r>
      <w:r>
        <w:rPr>
          <w:sz w:val="20"/>
          <w:szCs w:val="20"/>
          <w:spacing w:val="7"/>
        </w:rPr>
        <w:t>供暖系统不应有冻</w:t>
      </w:r>
      <w:r>
        <w:rPr>
          <w:sz w:val="20"/>
          <w:szCs w:val="20"/>
          <w:spacing w:val="6"/>
        </w:rPr>
        <w:t>结危险，并应采取热膨胀补偿措施。</w:t>
      </w:r>
    </w:p>
    <w:p>
      <w:pPr>
        <w:pStyle w:val="BodyText"/>
        <w:spacing w:before="82" w:line="21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7"/>
        </w:rPr>
        <w:t>7.2.6      </w:t>
      </w:r>
      <w:r>
        <w:rPr>
          <w:sz w:val="20"/>
          <w:szCs w:val="20"/>
          <w:spacing w:val="7"/>
        </w:rPr>
        <w:t>无外窗的暗卫生间应设</w:t>
      </w:r>
      <w:r>
        <w:rPr>
          <w:sz w:val="20"/>
          <w:szCs w:val="20"/>
          <w:spacing w:val="6"/>
        </w:rPr>
        <w:t>防止回流的机械通风设施。</w:t>
      </w:r>
    </w:p>
    <w:p>
      <w:pPr>
        <w:pStyle w:val="BodyText"/>
        <w:ind w:right="84" w:firstLine="2"/>
        <w:spacing w:before="64" w:line="258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1"/>
        </w:rPr>
        <w:t>7.2.7</w:t>
      </w:r>
      <w:r>
        <w:rPr>
          <w:sz w:val="20"/>
          <w:szCs w:val="20"/>
          <w:spacing w:val="11"/>
        </w:rPr>
        <w:t xml:space="preserve">  厨房设置排烟道时，应采取防止支管回流和竖井泄漏的</w:t>
      </w:r>
      <w:r>
        <w:rPr>
          <w:sz w:val="20"/>
          <w:szCs w:val="20"/>
          <w:spacing w:val="10"/>
        </w:rPr>
        <w:t xml:space="preserve"> </w:t>
      </w:r>
      <w:r>
        <w:rPr>
          <w:sz w:val="20"/>
          <w:szCs w:val="20"/>
        </w:rPr>
        <w:t>措施。</w:t>
      </w:r>
    </w:p>
    <w:p>
      <w:pPr>
        <w:pStyle w:val="BodyText"/>
        <w:ind w:right="92"/>
        <w:spacing w:before="92" w:line="243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0"/>
        </w:rPr>
        <w:t>7.2.8      </w:t>
      </w:r>
      <w:r>
        <w:rPr>
          <w:sz w:val="20"/>
          <w:szCs w:val="20"/>
          <w:spacing w:val="10"/>
        </w:rPr>
        <w:t>室内空调设备的冷凝水应有组织排放。应设冷凝水排放</w:t>
      </w:r>
      <w:r>
        <w:rPr>
          <w:sz w:val="20"/>
          <w:szCs w:val="20"/>
          <w:spacing w:val="7"/>
        </w:rPr>
        <w:t xml:space="preserve"> </w:t>
      </w:r>
      <w:r>
        <w:rPr>
          <w:sz w:val="20"/>
          <w:szCs w:val="20"/>
          <w:spacing w:val="6"/>
        </w:rPr>
        <w:t>立管及其与主要房间的接口。冷凝水管不应出现倒坡。</w:t>
      </w:r>
    </w:p>
    <w:p>
      <w:pPr>
        <w:pStyle w:val="BodyText"/>
        <w:ind w:left="2262"/>
        <w:spacing w:before="241" w:line="221" w:lineRule="auto"/>
        <w:outlineLvl w:val="1"/>
        <w:rPr>
          <w:sz w:val="20"/>
          <w:szCs w:val="20"/>
        </w:rPr>
      </w:pPr>
      <w:bookmarkStart w:name="bookmark22" w:id="34"/>
      <w:bookmarkEnd w:id="34"/>
      <w:r>
        <w:rPr>
          <w:sz w:val="20"/>
          <w:szCs w:val="20"/>
          <w:b/>
          <w:bCs/>
          <w:spacing w:val="-7"/>
        </w:rPr>
        <w:t>7.3</w:t>
      </w:r>
      <w:r>
        <w:rPr>
          <w:sz w:val="20"/>
          <w:szCs w:val="20"/>
          <w:spacing w:val="12"/>
        </w:rPr>
        <w:t xml:space="preserve">  </w:t>
      </w:r>
      <w:r>
        <w:rPr>
          <w:sz w:val="20"/>
          <w:szCs w:val="20"/>
          <w:b/>
          <w:bCs/>
          <w:spacing w:val="-7"/>
        </w:rPr>
        <w:t>燃</w:t>
      </w:r>
      <w:r>
        <w:rPr>
          <w:sz w:val="20"/>
          <w:szCs w:val="20"/>
          <w:spacing w:val="7"/>
        </w:rPr>
        <w:t xml:space="preserve">    </w:t>
      </w:r>
      <w:r>
        <w:rPr>
          <w:sz w:val="20"/>
          <w:szCs w:val="20"/>
          <w:b/>
          <w:bCs/>
          <w:spacing w:val="-7"/>
        </w:rPr>
        <w:t>气</w:t>
      </w:r>
    </w:p>
    <w:p>
      <w:pPr>
        <w:pStyle w:val="BodyText"/>
        <w:spacing w:before="232" w:line="21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6"/>
        </w:rPr>
        <w:t>7.3.1      </w:t>
      </w:r>
      <w:r>
        <w:rPr>
          <w:sz w:val="20"/>
          <w:szCs w:val="20"/>
          <w:spacing w:val="6"/>
        </w:rPr>
        <w:t>住宅建筑燃气管道及设施应符合下列规定：</w:t>
      </w:r>
    </w:p>
    <w:p>
      <w:pPr>
        <w:pStyle w:val="BodyText"/>
        <w:ind w:right="84" w:firstLine="430"/>
        <w:spacing w:before="72" w:line="259" w:lineRule="auto"/>
        <w:rPr>
          <w:sz w:val="20"/>
          <w:szCs w:val="20"/>
        </w:rPr>
      </w:pPr>
      <w:r>
        <w:rPr>
          <w:sz w:val="20"/>
          <w:szCs w:val="20"/>
          <w:spacing w:val="12"/>
        </w:rPr>
        <w:t>1  燃气供气能力应满足所设燃具在正常工况下同时工作的</w:t>
      </w:r>
      <w:r>
        <w:rPr>
          <w:sz w:val="20"/>
          <w:szCs w:val="20"/>
          <w:spacing w:val="10"/>
        </w:rPr>
        <w:t xml:space="preserve"> </w:t>
      </w:r>
      <w:r>
        <w:rPr>
          <w:sz w:val="20"/>
          <w:szCs w:val="20"/>
        </w:rPr>
        <w:t>要求；</w:t>
      </w:r>
    </w:p>
    <w:p>
      <w:pPr>
        <w:pStyle w:val="BodyText"/>
        <w:ind w:right="87" w:firstLine="430"/>
        <w:spacing w:before="70" w:line="252" w:lineRule="auto"/>
        <w:rPr>
          <w:sz w:val="20"/>
          <w:szCs w:val="20"/>
        </w:rPr>
      </w:pPr>
      <w:r>
        <w:rPr>
          <w:sz w:val="20"/>
          <w:szCs w:val="20"/>
          <w:spacing w:val="13"/>
        </w:rPr>
        <w:t>2</w:t>
      </w:r>
      <w:r>
        <w:rPr>
          <w:sz w:val="20"/>
          <w:szCs w:val="20"/>
          <w:spacing w:val="5"/>
        </w:rPr>
        <w:t xml:space="preserve">  </w:t>
      </w:r>
      <w:r>
        <w:rPr>
          <w:sz w:val="20"/>
          <w:szCs w:val="20"/>
          <w:spacing w:val="13"/>
        </w:rPr>
        <w:t>燃气管道及设施的设置应满足安全要求，并应</w:t>
      </w:r>
      <w:r>
        <w:rPr>
          <w:sz w:val="20"/>
          <w:szCs w:val="20"/>
          <w:spacing w:val="12"/>
        </w:rPr>
        <w:t>根据住宅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2"/>
        </w:rPr>
        <w:t>结构合理布置；</w:t>
      </w:r>
    </w:p>
    <w:p>
      <w:pPr>
        <w:pStyle w:val="BodyText"/>
        <w:ind w:firstLine="430"/>
        <w:spacing w:before="93" w:line="244" w:lineRule="auto"/>
        <w:rPr>
          <w:sz w:val="20"/>
          <w:szCs w:val="20"/>
        </w:rPr>
      </w:pPr>
      <w:r>
        <w:rPr>
          <w:sz w:val="20"/>
          <w:szCs w:val="20"/>
          <w:spacing w:val="8"/>
        </w:rPr>
        <w:t>3</w:t>
      </w:r>
      <w:r>
        <w:rPr>
          <w:sz w:val="20"/>
          <w:szCs w:val="20"/>
          <w:spacing w:val="5"/>
        </w:rPr>
        <w:t xml:space="preserve">  </w:t>
      </w:r>
      <w:r>
        <w:rPr>
          <w:sz w:val="20"/>
          <w:szCs w:val="20"/>
          <w:spacing w:val="8"/>
        </w:rPr>
        <w:t>燃气管道及设施不应设置在卧室，以及电梯井、通风道、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  <w:spacing w:val="5"/>
        </w:rPr>
        <w:t>排气道、暖气沟的竖井或沟槽内。</w:t>
      </w:r>
    </w:p>
    <w:p>
      <w:pPr>
        <w:pStyle w:val="BodyText"/>
        <w:ind w:right="20" w:firstLine="2"/>
        <w:spacing w:before="101" w:line="253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7"/>
        </w:rPr>
        <w:t>7.3.2</w:t>
      </w:r>
      <w:r>
        <w:rPr>
          <w:sz w:val="20"/>
          <w:szCs w:val="20"/>
          <w:spacing w:val="7"/>
        </w:rPr>
        <w:t xml:space="preserve">  住宅建筑采用管道供气方式时，应按</w:t>
      </w:r>
      <w:r>
        <w:rPr>
          <w:sz w:val="20"/>
          <w:szCs w:val="20"/>
          <w:spacing w:val="6"/>
        </w:rPr>
        <w:t>每套住宅分别计量。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8"/>
        </w:rPr>
        <w:t>燃气表的设置应便于使用、检修和保养，并</w:t>
      </w:r>
      <w:r>
        <w:rPr>
          <w:sz w:val="20"/>
          <w:szCs w:val="20"/>
          <w:spacing w:val="7"/>
        </w:rPr>
        <w:t>应满足安全要求。</w:t>
      </w:r>
    </w:p>
    <w:p>
      <w:pPr>
        <w:pStyle w:val="BodyText"/>
        <w:spacing w:before="63" w:line="21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5"/>
        </w:rPr>
        <w:t>7.3.3      </w:t>
      </w:r>
      <w:r>
        <w:rPr>
          <w:sz w:val="20"/>
          <w:szCs w:val="20"/>
          <w:spacing w:val="5"/>
        </w:rPr>
        <w:t>设置燃具的房间应符合下列规定：</w:t>
      </w:r>
    </w:p>
    <w:p>
      <w:pPr>
        <w:pStyle w:val="BodyText"/>
        <w:ind w:right="89" w:firstLine="432"/>
        <w:spacing w:before="80" w:line="254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2"/>
        </w:rPr>
        <w:t>1</w:t>
      </w:r>
      <w:r>
        <w:rPr>
          <w:sz w:val="20"/>
          <w:szCs w:val="20"/>
          <w:spacing w:val="12"/>
        </w:rPr>
        <w:t xml:space="preserve">  房间室内净高不应低于2.20m,</w:t>
      </w:r>
      <w:r>
        <w:rPr>
          <w:sz w:val="20"/>
          <w:szCs w:val="20"/>
          <w:spacing w:val="77"/>
        </w:rPr>
        <w:t xml:space="preserve"> </w:t>
      </w:r>
      <w:r>
        <w:rPr>
          <w:sz w:val="20"/>
          <w:szCs w:val="20"/>
          <w:spacing w:val="12"/>
        </w:rPr>
        <w:t>且不应与卧室、兼起居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5"/>
        </w:rPr>
        <w:t>室的卧室等直接连通；</w:t>
      </w:r>
    </w:p>
    <w:p>
      <w:pPr>
        <w:pStyle w:val="BodyText"/>
        <w:ind w:right="109" w:firstLine="432"/>
        <w:spacing w:before="72" w:line="25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20"/>
        </w:rPr>
        <w:t>2</w:t>
      </w:r>
      <w:r>
        <w:rPr>
          <w:sz w:val="20"/>
          <w:szCs w:val="20"/>
          <w:spacing w:val="12"/>
        </w:rPr>
        <w:t xml:space="preserve">  </w:t>
      </w:r>
      <w:r>
        <w:rPr>
          <w:sz w:val="20"/>
          <w:szCs w:val="20"/>
          <w:spacing w:val="20"/>
        </w:rPr>
        <w:t>房间自然通风或强制通风，应满足燃气燃烧所需的空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</w:rPr>
        <w:t>气量；</w:t>
      </w:r>
    </w:p>
    <w:p>
      <w:pPr>
        <w:pStyle w:val="BodyText"/>
        <w:ind w:right="90" w:firstLine="432"/>
        <w:spacing w:before="78" w:line="248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2"/>
        </w:rPr>
        <w:t>3</w:t>
      </w:r>
      <w:r>
        <w:rPr>
          <w:sz w:val="20"/>
          <w:szCs w:val="20"/>
          <w:spacing w:val="11"/>
        </w:rPr>
        <w:t xml:space="preserve">  </w:t>
      </w:r>
      <w:r>
        <w:rPr>
          <w:sz w:val="20"/>
          <w:szCs w:val="20"/>
          <w:spacing w:val="12"/>
        </w:rPr>
        <w:t>与燃具贴邻的墙体、地面、台面等应为不燃材料，安装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  <w:spacing w:val="8"/>
        </w:rPr>
        <w:t>燃气热水器或燃气采暖热水炉的墙面或地面</w:t>
      </w:r>
      <w:r>
        <w:rPr>
          <w:sz w:val="20"/>
          <w:szCs w:val="20"/>
          <w:spacing w:val="7"/>
        </w:rPr>
        <w:t>应能承受其荷载。</w:t>
      </w:r>
    </w:p>
    <w:p>
      <w:pPr>
        <w:pStyle w:val="BodyText"/>
        <w:ind w:right="91" w:firstLine="2"/>
        <w:spacing w:before="84" w:line="286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1"/>
        </w:rPr>
        <w:t>7.3.4</w:t>
      </w:r>
      <w:r>
        <w:rPr>
          <w:sz w:val="20"/>
          <w:szCs w:val="20"/>
          <w:spacing w:val="11"/>
        </w:rPr>
        <w:t xml:space="preserve">  使用燃气的住宅应设燃具的排烟及排气装置，并应符合</w:t>
      </w:r>
      <w:r>
        <w:rPr>
          <w:sz w:val="20"/>
          <w:szCs w:val="20"/>
          <w:spacing w:val="3"/>
        </w:rPr>
        <w:t xml:space="preserve"> </w:t>
      </w:r>
      <w:r>
        <w:rPr>
          <w:sz w:val="20"/>
          <w:szCs w:val="20"/>
        </w:rPr>
        <w:t>下列规定：</w:t>
      </w:r>
    </w:p>
    <w:p>
      <w:pPr>
        <w:pStyle w:val="BodyText"/>
        <w:ind w:left="432"/>
        <w:spacing w:line="218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6"/>
        </w:rPr>
        <w:t>1</w:t>
      </w:r>
      <w:r>
        <w:rPr>
          <w:sz w:val="20"/>
          <w:szCs w:val="20"/>
          <w:spacing w:val="6"/>
        </w:rPr>
        <w:t xml:space="preserve">  应能将燃气燃烧产生的烟气全部排至室外；</w:t>
      </w:r>
    </w:p>
    <w:p>
      <w:pPr>
        <w:spacing w:line="218" w:lineRule="auto"/>
        <w:sectPr>
          <w:footerReference w:type="default" r:id="rId23"/>
          <w:pgSz w:w="7940" w:h="11500"/>
          <w:pgMar w:top="877" w:right="959" w:bottom="1039" w:left="1029" w:header="0" w:footer="859" w:gutter="0"/>
        </w:sectPr>
        <w:rPr>
          <w:sz w:val="20"/>
          <w:szCs w:val="20"/>
        </w:rPr>
      </w:pPr>
    </w:p>
    <w:p>
      <w:pPr>
        <w:pStyle w:val="BodyText"/>
        <w:ind w:left="5" w:right="95" w:firstLine="430"/>
        <w:spacing w:before="42" w:line="242" w:lineRule="auto"/>
        <w:rPr/>
      </w:pPr>
      <w:r>
        <w:rPr>
          <w:spacing w:val="3"/>
        </w:rPr>
        <w:t>2</w:t>
      </w:r>
      <w:r>
        <w:rPr>
          <w:spacing w:val="93"/>
        </w:rPr>
        <w:t xml:space="preserve"> </w:t>
      </w:r>
      <w:r>
        <w:rPr>
          <w:spacing w:val="3"/>
        </w:rPr>
        <w:t>排烟及排气装置应有防倒烟措施，多台燃具的共用烟道</w:t>
      </w:r>
      <w:r>
        <w:rPr/>
        <w:t xml:space="preserve"> </w:t>
      </w:r>
      <w:r>
        <w:rPr>
          <w:spacing w:val="-7"/>
        </w:rPr>
        <w:t>应有防串烟措施；</w:t>
      </w:r>
    </w:p>
    <w:p>
      <w:pPr>
        <w:pStyle w:val="BodyText"/>
        <w:ind w:left="435"/>
        <w:spacing w:before="59" w:line="219" w:lineRule="auto"/>
        <w:rPr/>
      </w:pPr>
      <w:r>
        <w:rPr>
          <w:spacing w:val="-4"/>
        </w:rPr>
        <w:t>3</w:t>
      </w:r>
      <w:r>
        <w:rPr>
          <w:spacing w:val="102"/>
        </w:rPr>
        <w:t xml:space="preserve"> </w:t>
      </w:r>
      <w:r>
        <w:rPr>
          <w:spacing w:val="-4"/>
        </w:rPr>
        <w:t>排烟及排气管不应穿过卧室；</w:t>
      </w:r>
    </w:p>
    <w:p>
      <w:pPr>
        <w:pStyle w:val="BodyText"/>
        <w:ind w:left="5" w:right="73" w:firstLine="430"/>
        <w:spacing w:before="69" w:line="255" w:lineRule="auto"/>
        <w:rPr/>
      </w:pPr>
      <w:r>
        <w:rPr>
          <w:spacing w:val="3"/>
        </w:rPr>
        <w:t>4</w:t>
      </w:r>
      <w:r>
        <w:rPr>
          <w:spacing w:val="115"/>
        </w:rPr>
        <w:t xml:space="preserve"> </w:t>
      </w:r>
      <w:r>
        <w:rPr>
          <w:spacing w:val="3"/>
        </w:rPr>
        <w:t>排烟口应设在烟气容易扩散的室外开放空间，且烟气不</w:t>
      </w:r>
      <w:r>
        <w:rPr/>
        <w:t xml:space="preserve"> </w:t>
      </w:r>
      <w:r>
        <w:rPr>
          <w:spacing w:val="-3"/>
        </w:rPr>
        <w:t>应回流至住宅建筑内或窜入相邻建筑物内；</w:t>
      </w:r>
    </w:p>
    <w:p>
      <w:pPr>
        <w:pStyle w:val="BodyText"/>
        <w:ind w:left="435"/>
        <w:spacing w:before="60" w:line="219" w:lineRule="auto"/>
        <w:rPr/>
      </w:pPr>
      <w:r>
        <w:rPr>
          <w:spacing w:val="-2"/>
        </w:rPr>
        <w:t>5</w:t>
      </w:r>
      <w:r>
        <w:rPr>
          <w:spacing w:val="102"/>
        </w:rPr>
        <w:t xml:space="preserve"> </w:t>
      </w:r>
      <w:r>
        <w:rPr>
          <w:spacing w:val="-2"/>
        </w:rPr>
        <w:t>不应有因破损、连接不紧密等导致的漏烟</w:t>
      </w:r>
      <w:r>
        <w:rPr>
          <w:spacing w:val="-3"/>
        </w:rPr>
        <w:t>现象；</w:t>
      </w:r>
    </w:p>
    <w:p>
      <w:pPr>
        <w:pStyle w:val="BodyText"/>
        <w:ind w:left="5" w:right="93" w:firstLine="430"/>
        <w:spacing w:before="61" w:line="251" w:lineRule="auto"/>
        <w:rPr/>
      </w:pPr>
      <w:r>
        <w:rPr>
          <w:spacing w:val="3"/>
        </w:rPr>
        <w:t>6</w:t>
      </w:r>
      <w:r>
        <w:rPr>
          <w:spacing w:val="95"/>
        </w:rPr>
        <w:t xml:space="preserve"> </w:t>
      </w:r>
      <w:r>
        <w:rPr>
          <w:spacing w:val="3"/>
        </w:rPr>
        <w:t>燃气灶不应与燃气热水器、燃气采暖热水炉共用排烟及</w:t>
      </w:r>
      <w:r>
        <w:rPr/>
        <w:t xml:space="preserve"> </w:t>
      </w:r>
      <w:r>
        <w:rPr>
          <w:spacing w:val="-7"/>
        </w:rPr>
        <w:t>排气装置。</w:t>
      </w:r>
    </w:p>
    <w:p>
      <w:pPr>
        <w:pStyle w:val="BodyText"/>
        <w:ind w:left="2268"/>
        <w:spacing w:before="207" w:line="221" w:lineRule="auto"/>
        <w:outlineLvl w:val="1"/>
        <w:rPr/>
      </w:pPr>
      <w:bookmarkStart w:name="bookmark23" w:id="35"/>
      <w:bookmarkEnd w:id="35"/>
      <w:r>
        <w:rPr>
          <w:b/>
          <w:bCs/>
          <w:spacing w:val="-12"/>
        </w:rPr>
        <w:t>7.4</w:t>
      </w:r>
      <w:r>
        <w:rPr>
          <w:spacing w:val="5"/>
        </w:rPr>
        <w:t xml:space="preserve">  </w:t>
      </w:r>
      <w:r>
        <w:rPr>
          <w:b/>
          <w:bCs/>
          <w:spacing w:val="-12"/>
        </w:rPr>
        <w:t>电</w:t>
      </w:r>
      <w:r>
        <w:rPr>
          <w:spacing w:val="3"/>
        </w:rPr>
        <w:t xml:space="preserve">    </w:t>
      </w:r>
      <w:r>
        <w:rPr>
          <w:b/>
          <w:bCs/>
          <w:spacing w:val="-12"/>
        </w:rPr>
        <w:t>气</w:t>
      </w:r>
    </w:p>
    <w:p>
      <w:pPr>
        <w:pStyle w:val="BodyText"/>
        <w:ind w:left="5"/>
        <w:spacing w:before="219" w:line="284" w:lineRule="auto"/>
        <w:rPr/>
      </w:pPr>
      <w:r>
        <w:rPr>
          <w:rFonts w:ascii="Times New Roman" w:hAnsi="Times New Roman" w:eastAsia="Times New Roman" w:cs="Times New Roman"/>
          <w:b/>
          <w:bCs/>
          <w:spacing w:val="6"/>
        </w:rPr>
        <w:t>7.4.1     </w:t>
      </w:r>
      <w:r>
        <w:rPr>
          <w:spacing w:val="6"/>
        </w:rPr>
        <w:t>住宅建筑应设供配电系统，并应按用电负荷等级供电。</w:t>
      </w:r>
      <w:r>
        <w:rPr>
          <w:spacing w:val="17"/>
        </w:rPr>
        <w:t xml:space="preserve"> </w:t>
      </w:r>
      <w:r>
        <w:rPr>
          <w:spacing w:val="1"/>
        </w:rPr>
        <w:t>住宅建筑主要用电负荷等级不应低于表7.4.1的规定。</w:t>
      </w:r>
    </w:p>
    <w:p>
      <w:pPr>
        <w:ind w:left="1457"/>
        <w:spacing w:before="60" w:line="221" w:lineRule="auto"/>
        <w:rPr>
          <w:rFonts w:ascii="SimHei" w:hAnsi="SimHei" w:eastAsia="SimHei" w:cs="SimHei"/>
          <w:sz w:val="21"/>
          <w:szCs w:val="21"/>
        </w:rPr>
      </w:pPr>
      <w:r>
        <w:rPr>
          <w:rFonts w:ascii="SimHei" w:hAnsi="SimHei" w:eastAsia="SimHei" w:cs="SimHei"/>
          <w:sz w:val="21"/>
          <w:szCs w:val="21"/>
          <w:b/>
          <w:bCs/>
          <w:spacing w:val="-17"/>
          <w:w w:val="96"/>
        </w:rPr>
        <w:t>表7.4.1</w:t>
      </w:r>
      <w:r>
        <w:rPr>
          <w:rFonts w:ascii="SimHei" w:hAnsi="SimHei" w:eastAsia="SimHei" w:cs="SimHei"/>
          <w:sz w:val="21"/>
          <w:szCs w:val="21"/>
          <w:spacing w:val="47"/>
        </w:rPr>
        <w:t xml:space="preserve"> </w:t>
      </w:r>
      <w:r>
        <w:rPr>
          <w:rFonts w:ascii="SimHei" w:hAnsi="SimHei" w:eastAsia="SimHei" w:cs="SimHei"/>
          <w:sz w:val="21"/>
          <w:szCs w:val="21"/>
          <w:b/>
          <w:bCs/>
          <w:spacing w:val="-17"/>
          <w:w w:val="96"/>
        </w:rPr>
        <w:t>住宅建筑主要用电负荷等级</w:t>
      </w:r>
    </w:p>
    <w:p>
      <w:pPr>
        <w:spacing w:line="60" w:lineRule="exact"/>
        <w:rPr/>
      </w:pPr>
      <w:r/>
    </w:p>
    <w:tbl>
      <w:tblPr>
        <w:tblStyle w:val="TableNormal"/>
        <w:tblW w:w="588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203"/>
        <w:gridCol w:w="3804"/>
        <w:gridCol w:w="873"/>
      </w:tblGrid>
      <w:tr>
        <w:trPr>
          <w:trHeight w:val="632" w:hRule="atLeast"/>
        </w:trPr>
        <w:tc>
          <w:tcPr>
            <w:tcW w:w="1203" w:type="dxa"/>
            <w:vAlign w:val="top"/>
          </w:tcPr>
          <w:p>
            <w:pPr>
              <w:pStyle w:val="TableText"/>
              <w:ind w:left="115"/>
              <w:spacing w:before="121" w:line="219" w:lineRule="auto"/>
              <w:rPr/>
            </w:pPr>
            <w:r>
              <w:rPr>
                <w:spacing w:val="-1"/>
              </w:rPr>
              <w:t>住宅建筑高度</w:t>
            </w:r>
          </w:p>
          <w:p>
            <w:pPr>
              <w:pStyle w:val="TableText"/>
              <w:ind w:left="475"/>
              <w:spacing w:before="72" w:line="222" w:lineRule="auto"/>
              <w:rPr/>
            </w:pPr>
            <w:r>
              <w:rPr>
                <w:spacing w:val="-8"/>
              </w:rPr>
              <w:t>(H)</w:t>
            </w:r>
          </w:p>
        </w:tc>
        <w:tc>
          <w:tcPr>
            <w:tcW w:w="3804" w:type="dxa"/>
            <w:vAlign w:val="top"/>
          </w:tcPr>
          <w:p>
            <w:pPr>
              <w:pStyle w:val="TableText"/>
              <w:ind w:left="1291"/>
              <w:spacing w:before="241" w:line="219" w:lineRule="auto"/>
              <w:rPr/>
            </w:pPr>
            <w:r>
              <w:rPr>
                <w:spacing w:val="-1"/>
              </w:rPr>
              <w:t>主要用电负荷名称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108"/>
              <w:spacing w:before="121" w:line="219" w:lineRule="auto"/>
              <w:rPr/>
            </w:pPr>
            <w:r>
              <w:rPr>
                <w:spacing w:val="-2"/>
              </w:rPr>
              <w:t>用电负荷</w:t>
            </w:r>
          </w:p>
          <w:p>
            <w:pPr>
              <w:pStyle w:val="TableText"/>
              <w:ind w:left="268"/>
              <w:spacing w:before="50" w:line="219" w:lineRule="auto"/>
              <w:rPr/>
            </w:pPr>
            <w:r>
              <w:rPr>
                <w:spacing w:val="-2"/>
              </w:rPr>
              <w:t>等级</w:t>
            </w:r>
          </w:p>
        </w:tc>
      </w:tr>
      <w:tr>
        <w:trPr>
          <w:trHeight w:val="618" w:hRule="atLeast"/>
        </w:trPr>
        <w:tc>
          <w:tcPr>
            <w:tcW w:w="1203" w:type="dxa"/>
            <w:vAlign w:val="top"/>
            <w:vMerge w:val="restart"/>
            <w:tcBorders>
              <w:bottom w:val="nil"/>
            </w:tcBorders>
          </w:tcPr>
          <w:p>
            <w:pPr>
              <w:spacing w:line="3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5"/>
              <w:spacing w:before="52"/>
              <w:rPr/>
            </w:pPr>
            <w:r>
              <w:rPr>
                <w:spacing w:val="-1"/>
              </w:rPr>
              <w:t>H&gt;54m</w:t>
            </w:r>
          </w:p>
        </w:tc>
        <w:tc>
          <w:tcPr>
            <w:tcW w:w="3804" w:type="dxa"/>
            <w:vAlign w:val="top"/>
          </w:tcPr>
          <w:p>
            <w:pPr>
              <w:pStyle w:val="TableText"/>
              <w:ind w:left="102" w:firstLine="147"/>
              <w:spacing w:before="108" w:line="288" w:lineRule="auto"/>
              <w:rPr/>
            </w:pPr>
            <w:r>
              <w:rPr>
                <w:spacing w:val="1"/>
              </w:rPr>
              <w:t>航空障碍照明、智能化系统机房、安全防范系统、 </w:t>
            </w:r>
            <w:r>
              <w:rPr>
                <w:spacing w:val="-2"/>
              </w:rPr>
              <w:t>电梯、排水泵、生活给水泵、值班照明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268"/>
              <w:spacing w:before="231" w:line="221" w:lineRule="auto"/>
              <w:rPr/>
            </w:pPr>
            <w:r>
              <w:rPr>
                <w:spacing w:val="-5"/>
              </w:rPr>
              <w:t>一级</w:t>
            </w:r>
          </w:p>
        </w:tc>
      </w:tr>
      <w:tr>
        <w:trPr>
          <w:trHeight w:val="299" w:hRule="atLeast"/>
        </w:trPr>
        <w:tc>
          <w:tcPr>
            <w:tcW w:w="120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804" w:type="dxa"/>
            <w:vAlign w:val="top"/>
          </w:tcPr>
          <w:p>
            <w:pPr>
              <w:pStyle w:val="TableText"/>
              <w:ind w:left="102"/>
              <w:spacing w:before="71" w:line="219" w:lineRule="auto"/>
              <w:rPr/>
            </w:pPr>
            <w:r>
              <w:rPr>
                <w:spacing w:val="2"/>
              </w:rPr>
              <w:t>走道及楼梯照明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268"/>
              <w:spacing w:before="73" w:line="221" w:lineRule="auto"/>
              <w:rPr/>
            </w:pPr>
            <w:r>
              <w:rPr>
                <w:spacing w:val="-3"/>
              </w:rPr>
              <w:t>二级</w:t>
            </w:r>
          </w:p>
        </w:tc>
      </w:tr>
      <w:tr>
        <w:trPr>
          <w:trHeight w:val="637" w:hRule="atLeast"/>
        </w:trPr>
        <w:tc>
          <w:tcPr>
            <w:tcW w:w="1203" w:type="dxa"/>
            <w:vAlign w:val="top"/>
          </w:tcPr>
          <w:p>
            <w:pPr>
              <w:pStyle w:val="TableText"/>
              <w:ind w:left="195"/>
              <w:spacing w:before="256" w:line="236" w:lineRule="auto"/>
              <w:rPr/>
            </w:pPr>
            <w:r>
              <w:rPr>
                <w:spacing w:val="-1"/>
              </w:rPr>
              <w:t>27m&lt;H≤54m</w:t>
            </w:r>
          </w:p>
        </w:tc>
        <w:tc>
          <w:tcPr>
            <w:tcW w:w="3804" w:type="dxa"/>
            <w:vAlign w:val="top"/>
          </w:tcPr>
          <w:p>
            <w:pPr>
              <w:pStyle w:val="TableText"/>
              <w:ind w:left="102" w:firstLine="166"/>
              <w:spacing w:before="131" w:line="286" w:lineRule="auto"/>
              <w:rPr/>
            </w:pPr>
            <w:r>
              <w:rPr/>
              <w:t>智能化系统机房、安全防范系统、电梯、排水泵、</w:t>
            </w:r>
            <w:r>
              <w:rPr>
                <w:spacing w:val="4"/>
              </w:rPr>
              <w:t xml:space="preserve"> </w:t>
            </w:r>
            <w:r>
              <w:rPr>
                <w:spacing w:val="-3"/>
              </w:rPr>
              <w:t>生活给水泵、走道及楼梯照明、值班照明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268"/>
              <w:spacing w:before="244" w:line="221" w:lineRule="auto"/>
              <w:rPr/>
            </w:pPr>
            <w:r>
              <w:rPr>
                <w:spacing w:val="-3"/>
              </w:rPr>
              <w:t>二级</w:t>
            </w:r>
          </w:p>
        </w:tc>
      </w:tr>
      <w:tr>
        <w:trPr>
          <w:trHeight w:val="304" w:hRule="atLeast"/>
        </w:trPr>
        <w:tc>
          <w:tcPr>
            <w:tcW w:w="1203" w:type="dxa"/>
            <w:vAlign w:val="top"/>
          </w:tcPr>
          <w:p>
            <w:pPr>
              <w:pStyle w:val="TableText"/>
              <w:ind w:left="514"/>
              <w:spacing w:before="166" w:line="109" w:lineRule="exact"/>
              <w:rPr/>
            </w:pPr>
            <w:r>
              <w:rPr>
                <w:position w:val="-3"/>
              </w:rPr>
              <w:t>—</w:t>
            </w:r>
          </w:p>
        </w:tc>
        <w:tc>
          <w:tcPr>
            <w:tcW w:w="3804" w:type="dxa"/>
            <w:vAlign w:val="top"/>
          </w:tcPr>
          <w:p>
            <w:pPr>
              <w:pStyle w:val="TableText"/>
              <w:ind w:left="102"/>
              <w:spacing w:before="75" w:line="219" w:lineRule="auto"/>
              <w:rPr/>
            </w:pPr>
            <w:r>
              <w:rPr/>
              <w:t>除上述一级负荷和二级负荷以外的用电负荷</w:t>
            </w:r>
          </w:p>
        </w:tc>
        <w:tc>
          <w:tcPr>
            <w:tcW w:w="873" w:type="dxa"/>
            <w:vAlign w:val="top"/>
          </w:tcPr>
          <w:p>
            <w:pPr>
              <w:pStyle w:val="TableText"/>
              <w:ind w:left="268"/>
              <w:spacing w:before="77" w:line="221" w:lineRule="auto"/>
              <w:rPr/>
            </w:pPr>
            <w:r>
              <w:rPr>
                <w:spacing w:val="-2"/>
              </w:rPr>
              <w:t>三级</w:t>
            </w:r>
          </w:p>
        </w:tc>
      </w:tr>
    </w:tbl>
    <w:p>
      <w:pPr>
        <w:pStyle w:val="BodyText"/>
        <w:ind w:left="5"/>
        <w:spacing w:before="204" w:line="250" w:lineRule="auto"/>
        <w:rPr/>
      </w:pPr>
      <w:r>
        <w:rPr>
          <w:rFonts w:ascii="Times New Roman" w:hAnsi="Times New Roman" w:eastAsia="Times New Roman" w:cs="Times New Roman"/>
          <w:spacing w:val="6"/>
        </w:rPr>
        <w:t>7.4.2     </w:t>
      </w:r>
      <w:r>
        <w:rPr>
          <w:spacing w:val="6"/>
        </w:rPr>
        <w:t>每套住宅应设电能表。电能表的设置位置应便于管理、</w:t>
      </w:r>
      <w:r>
        <w:rPr>
          <w:spacing w:val="17"/>
        </w:rPr>
        <w:t xml:space="preserve"> </w:t>
      </w:r>
      <w:r>
        <w:rPr>
          <w:spacing w:val="-5"/>
        </w:rPr>
        <w:t>安装、使用和检修。</w:t>
      </w:r>
    </w:p>
    <w:p>
      <w:pPr>
        <w:pStyle w:val="BodyText"/>
        <w:ind w:left="5"/>
        <w:spacing w:before="71" w:line="219" w:lineRule="auto"/>
        <w:rPr/>
      </w:pPr>
      <w:r>
        <w:rPr>
          <w:spacing w:val="-3"/>
        </w:rPr>
        <w:t>7.4.3  每套住宅应设家居配电箱，并应符合下列规定：</w:t>
      </w:r>
    </w:p>
    <w:p>
      <w:pPr>
        <w:pStyle w:val="BodyText"/>
        <w:ind w:left="5" w:right="74" w:firstLine="430"/>
        <w:spacing w:before="59" w:line="260" w:lineRule="auto"/>
        <w:rPr/>
      </w:pPr>
      <w:r>
        <w:rPr>
          <w:spacing w:val="3"/>
        </w:rPr>
        <w:t>1  家居配电箱应设同时断开相线和中性线且具有隔离功能 </w:t>
      </w:r>
      <w:r>
        <w:rPr>
          <w:spacing w:val="7"/>
        </w:rPr>
        <w:t>的电源进线开关电器；电源配电回路应设短</w:t>
      </w:r>
      <w:r>
        <w:rPr>
          <w:spacing w:val="6"/>
        </w:rPr>
        <w:t>路和过负荷保护电</w:t>
      </w:r>
      <w:r>
        <w:rPr/>
        <w:t xml:space="preserve"> </w:t>
      </w:r>
      <w:r>
        <w:rPr>
          <w:spacing w:val="6"/>
        </w:rPr>
        <w:t>器；电源插座回路均应加设剩余电流动作值不大于3</w:t>
      </w:r>
      <w:r>
        <w:rPr>
          <w:spacing w:val="5"/>
        </w:rPr>
        <w:t>0</w:t>
      </w:r>
      <w:r>
        <w:rPr>
          <w:rFonts w:ascii="Times New Roman" w:hAnsi="Times New Roman" w:eastAsia="Times New Roman" w:cs="Times New Roman"/>
        </w:rPr>
        <w:t>mA</w:t>
      </w:r>
      <w:r>
        <w:rPr>
          <w:rFonts w:ascii="Times New Roman" w:hAnsi="Times New Roman" w:eastAsia="Times New Roman" w:cs="Times New Roman"/>
          <w:spacing w:val="24"/>
          <w:w w:val="101"/>
        </w:rPr>
        <w:t xml:space="preserve"> </w:t>
      </w:r>
      <w:r>
        <w:rPr>
          <w:spacing w:val="5"/>
        </w:rPr>
        <w:t>的</w:t>
      </w:r>
      <w:r>
        <w:rPr>
          <w:spacing w:val="-46"/>
        </w:rPr>
        <w:t xml:space="preserve"> </w:t>
      </w:r>
      <w:r>
        <w:rPr>
          <w:spacing w:val="5"/>
        </w:rPr>
        <w:t>剩</w:t>
      </w:r>
      <w:r>
        <w:rPr/>
        <w:t xml:space="preserve"> </w:t>
      </w:r>
      <w:r>
        <w:rPr>
          <w:spacing w:val="-4"/>
        </w:rPr>
        <w:t>余电流动作保护电器。</w:t>
      </w:r>
    </w:p>
    <w:p>
      <w:pPr>
        <w:pStyle w:val="BodyText"/>
        <w:ind w:left="435"/>
        <w:spacing w:before="58" w:line="219" w:lineRule="auto"/>
        <w:rPr/>
      </w:pPr>
      <w:r>
        <w:rPr>
          <w:spacing w:val="3"/>
        </w:rPr>
        <w:t>2</w:t>
      </w:r>
      <w:r>
        <w:rPr>
          <w:spacing w:val="113"/>
        </w:rPr>
        <w:t xml:space="preserve"> </w:t>
      </w:r>
      <w:r>
        <w:rPr>
          <w:spacing w:val="3"/>
        </w:rPr>
        <w:t>保护电器单排布置的家居配电箱底边距离地面高度不应</w:t>
      </w:r>
    </w:p>
    <w:p>
      <w:pPr>
        <w:spacing w:line="219" w:lineRule="auto"/>
        <w:sectPr>
          <w:footerReference w:type="default" r:id="rId24"/>
          <w:pgSz w:w="7940" w:h="11500"/>
          <w:pgMar w:top="866" w:right="965" w:bottom="1009" w:left="1024" w:header="0" w:footer="865" w:gutter="0"/>
        </w:sectPr>
        <w:rPr/>
      </w:pPr>
    </w:p>
    <w:p>
      <w:pPr>
        <w:pStyle w:val="BodyText"/>
        <w:ind w:left="5" w:right="87"/>
        <w:spacing w:before="45" w:line="284" w:lineRule="auto"/>
        <w:jc w:val="both"/>
        <w:rPr>
          <w:sz w:val="20"/>
          <w:szCs w:val="20"/>
        </w:rPr>
      </w:pPr>
      <w:r>
        <w:rPr>
          <w:sz w:val="22"/>
          <w:szCs w:val="22"/>
          <w:spacing w:val="-8"/>
        </w:rPr>
        <w:t>小于1.80</w:t>
      </w:r>
      <w:r>
        <w:rPr>
          <w:rFonts w:ascii="Times New Roman" w:hAnsi="Times New Roman" w:eastAsia="Times New Roman" w:cs="Times New Roman"/>
          <w:sz w:val="22"/>
          <w:szCs w:val="22"/>
          <w:spacing w:val="-8"/>
        </w:rPr>
        <w:t>m,</w:t>
      </w:r>
      <w:r>
        <w:rPr>
          <w:rFonts w:ascii="Times New Roman" w:hAnsi="Times New Roman" w:eastAsia="Times New Roman" w:cs="Times New Roman"/>
          <w:sz w:val="22"/>
          <w:szCs w:val="22"/>
          <w:spacing w:val="13"/>
        </w:rPr>
        <w:t xml:space="preserve">  </w:t>
      </w:r>
      <w:r>
        <w:rPr>
          <w:sz w:val="22"/>
          <w:szCs w:val="22"/>
          <w:spacing w:val="-8"/>
        </w:rPr>
        <w:t>保护电器双排布置的家居</w:t>
      </w:r>
      <w:r>
        <w:rPr>
          <w:sz w:val="22"/>
          <w:szCs w:val="22"/>
          <w:spacing w:val="-9"/>
        </w:rPr>
        <w:t>配电箱底边距离地面高度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spacing w:val="6"/>
        </w:rPr>
        <w:t>不应小于1.60</w:t>
      </w:r>
      <w:r>
        <w:rPr>
          <w:rFonts w:ascii="Times New Roman" w:hAnsi="Times New Roman" w:eastAsia="Times New Roman" w:cs="Times New Roman"/>
          <w:sz w:val="22"/>
          <w:szCs w:val="22"/>
          <w:spacing w:val="6"/>
        </w:rPr>
        <w:t>m,</w:t>
      </w:r>
      <w:r>
        <w:rPr>
          <w:rFonts w:ascii="Times New Roman" w:hAnsi="Times New Roman" w:eastAsia="Times New Roman" w:cs="Times New Roman"/>
          <w:sz w:val="22"/>
          <w:szCs w:val="22"/>
          <w:spacing w:val="23"/>
        </w:rPr>
        <w:t xml:space="preserve">  </w:t>
      </w:r>
      <w:r>
        <w:rPr>
          <w:sz w:val="22"/>
          <w:szCs w:val="22"/>
          <w:spacing w:val="6"/>
        </w:rPr>
        <w:t>家居配电箱的安装位置应便于使用</w:t>
      </w:r>
      <w:r>
        <w:rPr>
          <w:sz w:val="22"/>
          <w:szCs w:val="22"/>
          <w:spacing w:val="5"/>
        </w:rPr>
        <w:t>和维修</w:t>
      </w:r>
      <w:r>
        <w:rPr>
          <w:sz w:val="22"/>
          <w:szCs w:val="22"/>
        </w:rPr>
        <w:t xml:space="preserve"> </w:t>
      </w:r>
      <w:r>
        <w:rPr>
          <w:sz w:val="20"/>
          <w:szCs w:val="20"/>
        </w:rPr>
        <w:t>维护。</w:t>
      </w:r>
    </w:p>
    <w:p>
      <w:pPr>
        <w:pStyle w:val="BodyText"/>
        <w:ind w:left="5" w:right="55" w:firstLine="412"/>
        <w:spacing w:before="19" w:line="270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3"/>
        </w:rPr>
        <w:t>3</w:t>
      </w:r>
      <w:r>
        <w:rPr>
          <w:sz w:val="20"/>
          <w:szCs w:val="20"/>
          <w:spacing w:val="13"/>
        </w:rPr>
        <w:t xml:space="preserve">  家居配电箱的进出电源线应选用铜材质导体，电</w:t>
      </w:r>
      <w:r>
        <w:rPr>
          <w:sz w:val="20"/>
          <w:szCs w:val="20"/>
          <w:spacing w:val="12"/>
        </w:rPr>
        <w:t>源进线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9"/>
        </w:rPr>
        <w:t>的横截面面积不应小于10</w:t>
      </w:r>
      <w:r>
        <w:rPr>
          <w:rFonts w:ascii="Times New Roman" w:hAnsi="Times New Roman" w:eastAsia="Times New Roman" w:cs="Times New Roman"/>
          <w:sz w:val="20"/>
          <w:szCs w:val="20"/>
        </w:rPr>
        <w:t>mm</w:t>
      </w:r>
      <w:r>
        <w:rPr>
          <w:rFonts w:ascii="Times New Roman" w:hAnsi="Times New Roman" w:eastAsia="Times New Roman" w:cs="Times New Roman"/>
          <w:sz w:val="20"/>
          <w:szCs w:val="20"/>
          <w:spacing w:val="9"/>
        </w:rPr>
        <w:t>²</w:t>
      </w:r>
      <w:r>
        <w:rPr>
          <w:sz w:val="20"/>
          <w:szCs w:val="20"/>
          <w:spacing w:val="9"/>
        </w:rPr>
        <w:t>。</w:t>
      </w:r>
    </w:p>
    <w:p>
      <w:pPr>
        <w:pStyle w:val="BodyText"/>
        <w:ind w:left="5" w:right="76"/>
        <w:spacing w:before="24" w:line="264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9"/>
        </w:rPr>
        <w:t>7.4.4      </w:t>
      </w:r>
      <w:r>
        <w:rPr>
          <w:sz w:val="20"/>
          <w:szCs w:val="20"/>
          <w:spacing w:val="9"/>
        </w:rPr>
        <w:t>住宅照明回路、空调电源插</w:t>
      </w:r>
      <w:r>
        <w:rPr>
          <w:sz w:val="20"/>
          <w:szCs w:val="20"/>
          <w:spacing w:val="8"/>
        </w:rPr>
        <w:t>座回路、电热水器等2</w:t>
      </w:r>
      <w:r>
        <w:rPr>
          <w:rFonts w:ascii="Times New Roman" w:hAnsi="Times New Roman" w:eastAsia="Times New Roman" w:cs="Times New Roman"/>
          <w:sz w:val="20"/>
          <w:szCs w:val="20"/>
        </w:rPr>
        <w:t>kW</w:t>
      </w:r>
      <w:r>
        <w:rPr>
          <w:rFonts w:ascii="Times New Roman" w:hAnsi="Times New Roman" w:eastAsia="Times New Roman" w:cs="Times New Roman"/>
          <w:sz w:val="20"/>
          <w:szCs w:val="20"/>
          <w:spacing w:val="8"/>
        </w:rPr>
        <w:t xml:space="preserve"> </w:t>
      </w:r>
      <w:r>
        <w:rPr>
          <w:sz w:val="20"/>
          <w:szCs w:val="20"/>
          <w:spacing w:val="8"/>
        </w:rPr>
        <w:t>及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8"/>
        </w:rPr>
        <w:t>以上的用电设备回路、厨房内的电源插座回路、其他功能用房的</w:t>
      </w:r>
      <w:r>
        <w:rPr>
          <w:sz w:val="20"/>
          <w:szCs w:val="20"/>
          <w:spacing w:val="10"/>
        </w:rPr>
        <w:t xml:space="preserve"> </w:t>
      </w:r>
      <w:r>
        <w:rPr>
          <w:sz w:val="20"/>
          <w:szCs w:val="20"/>
          <w:spacing w:val="4"/>
        </w:rPr>
        <w:t>电源插座回路应分别设置。</w:t>
      </w:r>
    </w:p>
    <w:p>
      <w:pPr>
        <w:pStyle w:val="BodyText"/>
        <w:ind w:left="5"/>
        <w:spacing w:before="72" w:line="273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0"/>
        </w:rPr>
        <w:t>7.4.5      </w:t>
      </w:r>
      <w:r>
        <w:rPr>
          <w:sz w:val="20"/>
          <w:szCs w:val="20"/>
          <w:spacing w:val="10"/>
        </w:rPr>
        <w:t>住宅的电源插座均应采用安全型插座，卫生间设置的电 </w:t>
      </w:r>
      <w:r>
        <w:rPr>
          <w:sz w:val="20"/>
          <w:szCs w:val="20"/>
          <w:spacing w:val="8"/>
        </w:rPr>
        <w:t>源插座尚应加设防止水溅的措施。每套住宅电源插座的设置要求</w:t>
      </w:r>
      <w:r>
        <w:rPr>
          <w:sz w:val="20"/>
          <w:szCs w:val="20"/>
          <w:spacing w:val="2"/>
        </w:rPr>
        <w:t xml:space="preserve">  </w:t>
      </w:r>
      <w:r>
        <w:rPr>
          <w:sz w:val="20"/>
          <w:szCs w:val="20"/>
          <w:spacing w:val="14"/>
        </w:rPr>
        <w:t>和数量应符合表7.4.5的规定，布置洗衣机、冰箱、排油烟机、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16"/>
        </w:rPr>
        <w:t>排风机、电/燃气热水器、空调器处，尚应加设1个专用单相三</w:t>
      </w:r>
      <w:r>
        <w:rPr>
          <w:sz w:val="20"/>
          <w:szCs w:val="20"/>
          <w:spacing w:val="8"/>
        </w:rPr>
        <w:t xml:space="preserve"> </w:t>
      </w:r>
      <w:r>
        <w:rPr>
          <w:sz w:val="20"/>
          <w:szCs w:val="20"/>
          <w:spacing w:val="3"/>
        </w:rPr>
        <w:t>孔电源插座。</w:t>
      </w:r>
    </w:p>
    <w:p>
      <w:pPr>
        <w:ind w:left="1087"/>
        <w:spacing w:before="176" w:line="221" w:lineRule="auto"/>
        <w:rPr>
          <w:rFonts w:ascii="SimHei" w:hAnsi="SimHei" w:eastAsia="SimHei" w:cs="SimHei"/>
          <w:sz w:val="20"/>
          <w:szCs w:val="20"/>
        </w:rPr>
      </w:pPr>
      <w:r>
        <w:rPr>
          <w:rFonts w:ascii="SimHei" w:hAnsi="SimHei" w:eastAsia="SimHei" w:cs="SimHei"/>
          <w:sz w:val="20"/>
          <w:szCs w:val="20"/>
          <w:b/>
          <w:bCs/>
          <w:spacing w:val="-16"/>
        </w:rPr>
        <w:t>表7.4.5</w:t>
      </w:r>
      <w:r>
        <w:rPr>
          <w:rFonts w:ascii="SimHei" w:hAnsi="SimHei" w:eastAsia="SimHei" w:cs="SimHei"/>
          <w:sz w:val="20"/>
          <w:szCs w:val="20"/>
          <w:spacing w:val="59"/>
        </w:rPr>
        <w:t xml:space="preserve"> </w:t>
      </w:r>
      <w:r>
        <w:rPr>
          <w:rFonts w:ascii="SimHei" w:hAnsi="SimHei" w:eastAsia="SimHei" w:cs="SimHei"/>
          <w:sz w:val="20"/>
          <w:szCs w:val="20"/>
          <w:b/>
          <w:bCs/>
          <w:spacing w:val="-16"/>
        </w:rPr>
        <w:t>每套住宅电源插座的设置要求及数量</w:t>
      </w:r>
    </w:p>
    <w:p>
      <w:pPr>
        <w:spacing w:line="62" w:lineRule="exact"/>
        <w:rPr/>
      </w:pPr>
      <w:r/>
    </w:p>
    <w:tbl>
      <w:tblPr>
        <w:tblStyle w:val="TableNormal"/>
        <w:tblW w:w="588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2391"/>
        <w:gridCol w:w="2386"/>
        <w:gridCol w:w="1103"/>
      </w:tblGrid>
      <w:tr>
        <w:trPr>
          <w:trHeight w:val="622" w:hRule="atLeast"/>
        </w:trPr>
        <w:tc>
          <w:tcPr>
            <w:tcW w:w="2391" w:type="dxa"/>
            <w:vAlign w:val="top"/>
          </w:tcPr>
          <w:p>
            <w:pPr>
              <w:pStyle w:val="TableText"/>
              <w:ind w:left="1025"/>
              <w:spacing w:before="233" w:line="221" w:lineRule="auto"/>
              <w:rPr/>
            </w:pPr>
            <w:r>
              <w:rPr>
                <w:spacing w:val="-3"/>
              </w:rPr>
              <w:t>名称</w:t>
            </w:r>
          </w:p>
        </w:tc>
        <w:tc>
          <w:tcPr>
            <w:tcW w:w="2386" w:type="dxa"/>
            <w:vAlign w:val="top"/>
          </w:tcPr>
          <w:p>
            <w:pPr>
              <w:pStyle w:val="TableText"/>
              <w:ind w:left="864"/>
              <w:spacing w:before="232" w:line="221" w:lineRule="auto"/>
              <w:rPr/>
            </w:pPr>
            <w:r>
              <w:rPr>
                <w:spacing w:val="-2"/>
              </w:rPr>
              <w:t>设置要求</w:t>
            </w:r>
          </w:p>
        </w:tc>
        <w:tc>
          <w:tcPr>
            <w:tcW w:w="1103" w:type="dxa"/>
            <w:vAlign w:val="top"/>
          </w:tcPr>
          <w:p>
            <w:pPr>
              <w:pStyle w:val="TableText"/>
              <w:ind w:left="388"/>
              <w:spacing w:before="101" w:line="219" w:lineRule="auto"/>
              <w:rPr/>
            </w:pPr>
            <w:r>
              <w:rPr>
                <w:spacing w:val="-2"/>
              </w:rPr>
              <w:t>数量</w:t>
            </w:r>
          </w:p>
          <w:p>
            <w:pPr>
              <w:pStyle w:val="TableText"/>
              <w:ind w:left="267"/>
              <w:spacing w:before="80" w:line="219" w:lineRule="auto"/>
              <w:rPr/>
            </w:pPr>
            <w:r>
              <w:rPr>
                <w:spacing w:val="7"/>
              </w:rPr>
              <w:t>(个/间)</w:t>
            </w:r>
          </w:p>
        </w:tc>
      </w:tr>
      <w:tr>
        <w:trPr>
          <w:trHeight w:val="308" w:hRule="atLeast"/>
        </w:trPr>
        <w:tc>
          <w:tcPr>
            <w:tcW w:w="2391" w:type="dxa"/>
            <w:vAlign w:val="top"/>
          </w:tcPr>
          <w:p>
            <w:pPr>
              <w:pStyle w:val="TableText"/>
              <w:ind w:left="305"/>
              <w:spacing w:before="79" w:line="219" w:lineRule="auto"/>
              <w:rPr/>
            </w:pPr>
            <w:r>
              <w:rPr>
                <w:spacing w:val="-1"/>
              </w:rPr>
              <w:t>起居室、兼起居室的卧室</w:t>
            </w:r>
          </w:p>
        </w:tc>
        <w:tc>
          <w:tcPr>
            <w:tcW w:w="2386" w:type="dxa"/>
            <w:vAlign w:val="top"/>
          </w:tcPr>
          <w:p>
            <w:pPr>
              <w:pStyle w:val="TableText"/>
              <w:ind w:left="303"/>
              <w:spacing w:before="80" w:line="220" w:lineRule="auto"/>
              <w:rPr/>
            </w:pPr>
            <w:r>
              <w:rPr>
                <w:spacing w:val="-1"/>
              </w:rPr>
              <w:t>单相两孔、三孔电源插座</w:t>
            </w:r>
          </w:p>
        </w:tc>
        <w:tc>
          <w:tcPr>
            <w:tcW w:w="1103" w:type="dxa"/>
            <w:vAlign w:val="top"/>
          </w:tcPr>
          <w:p>
            <w:pPr>
              <w:pStyle w:val="TableText"/>
              <w:ind w:left="427"/>
              <w:spacing w:before="95" w:line="234" w:lineRule="auto"/>
              <w:rPr/>
            </w:pPr>
            <w:r>
              <w:rPr>
                <w:spacing w:val="-8"/>
              </w:rPr>
              <w:t>≥3</w:t>
            </w:r>
          </w:p>
        </w:tc>
      </w:tr>
      <w:tr>
        <w:trPr>
          <w:trHeight w:val="308" w:hRule="atLeast"/>
        </w:trPr>
        <w:tc>
          <w:tcPr>
            <w:tcW w:w="2391" w:type="dxa"/>
            <w:vAlign w:val="top"/>
          </w:tcPr>
          <w:p>
            <w:pPr>
              <w:pStyle w:val="TableText"/>
              <w:ind w:left="1025"/>
              <w:spacing w:before="82" w:line="221" w:lineRule="auto"/>
              <w:rPr/>
            </w:pPr>
            <w:r>
              <w:rPr>
                <w:spacing w:val="3"/>
              </w:rPr>
              <w:t>卧室</w:t>
            </w:r>
          </w:p>
        </w:tc>
        <w:tc>
          <w:tcPr>
            <w:tcW w:w="2386" w:type="dxa"/>
            <w:vAlign w:val="top"/>
          </w:tcPr>
          <w:p>
            <w:pPr>
              <w:pStyle w:val="TableText"/>
              <w:ind w:left="303"/>
              <w:spacing w:before="81" w:line="220" w:lineRule="auto"/>
              <w:rPr/>
            </w:pPr>
            <w:r>
              <w:rPr>
                <w:spacing w:val="-1"/>
              </w:rPr>
              <w:t>单相两孔、三孔电源插座</w:t>
            </w:r>
          </w:p>
        </w:tc>
        <w:tc>
          <w:tcPr>
            <w:tcW w:w="1103" w:type="dxa"/>
            <w:vAlign w:val="top"/>
          </w:tcPr>
          <w:p>
            <w:pPr>
              <w:pStyle w:val="TableText"/>
              <w:ind w:left="427"/>
              <w:spacing w:before="96" w:line="232" w:lineRule="auto"/>
              <w:rPr/>
            </w:pPr>
            <w:r>
              <w:rPr>
                <w:spacing w:val="-8"/>
              </w:rPr>
              <w:t>≥2</w:t>
            </w:r>
          </w:p>
        </w:tc>
      </w:tr>
      <w:tr>
        <w:trPr>
          <w:trHeight w:val="308" w:hRule="atLeast"/>
        </w:trPr>
        <w:tc>
          <w:tcPr>
            <w:tcW w:w="2391" w:type="dxa"/>
            <w:vAlign w:val="top"/>
          </w:tcPr>
          <w:p>
            <w:pPr>
              <w:pStyle w:val="TableText"/>
              <w:ind w:left="1025"/>
              <w:spacing w:before="84" w:line="220" w:lineRule="auto"/>
              <w:rPr/>
            </w:pPr>
            <w:r>
              <w:rPr>
                <w:spacing w:val="5"/>
              </w:rPr>
              <w:t>厨房</w:t>
            </w:r>
          </w:p>
        </w:tc>
        <w:tc>
          <w:tcPr>
            <w:tcW w:w="2386" w:type="dxa"/>
            <w:vAlign w:val="top"/>
          </w:tcPr>
          <w:p>
            <w:pPr>
              <w:pStyle w:val="TableText"/>
              <w:ind w:left="303"/>
              <w:spacing w:before="84" w:line="220" w:lineRule="auto"/>
              <w:rPr/>
            </w:pPr>
            <w:r>
              <w:rPr>
                <w:spacing w:val="-1"/>
              </w:rPr>
              <w:t>单相两孔、三孔电源插座</w:t>
            </w:r>
          </w:p>
        </w:tc>
        <w:tc>
          <w:tcPr>
            <w:tcW w:w="1103" w:type="dxa"/>
            <w:vAlign w:val="top"/>
          </w:tcPr>
          <w:p>
            <w:pPr>
              <w:pStyle w:val="TableText"/>
              <w:ind w:left="427"/>
              <w:spacing w:before="98" w:line="230" w:lineRule="auto"/>
              <w:rPr/>
            </w:pPr>
            <w:r>
              <w:rPr>
                <w:spacing w:val="-8"/>
              </w:rPr>
              <w:t>≥3</w:t>
            </w:r>
          </w:p>
        </w:tc>
      </w:tr>
      <w:tr>
        <w:trPr>
          <w:trHeight w:val="313" w:hRule="atLeast"/>
        </w:trPr>
        <w:tc>
          <w:tcPr>
            <w:tcW w:w="2391" w:type="dxa"/>
            <w:vAlign w:val="top"/>
          </w:tcPr>
          <w:p>
            <w:pPr>
              <w:pStyle w:val="TableText"/>
              <w:ind w:left="945"/>
              <w:spacing w:before="88" w:line="222" w:lineRule="auto"/>
              <w:rPr/>
            </w:pPr>
            <w:r>
              <w:rPr>
                <w:spacing w:val="5"/>
              </w:rPr>
              <w:t>卫生间</w:t>
            </w:r>
          </w:p>
        </w:tc>
        <w:tc>
          <w:tcPr>
            <w:tcW w:w="2386" w:type="dxa"/>
            <w:vAlign w:val="top"/>
          </w:tcPr>
          <w:p>
            <w:pPr>
              <w:pStyle w:val="TableText"/>
              <w:ind w:left="303"/>
              <w:spacing w:before="86" w:line="220" w:lineRule="auto"/>
              <w:rPr/>
            </w:pPr>
            <w:r>
              <w:rPr>
                <w:spacing w:val="-1"/>
              </w:rPr>
              <w:t>单相两孔、三孔电源插座</w:t>
            </w:r>
          </w:p>
        </w:tc>
        <w:tc>
          <w:tcPr>
            <w:tcW w:w="1103" w:type="dxa"/>
            <w:vAlign w:val="top"/>
          </w:tcPr>
          <w:p>
            <w:pPr>
              <w:pStyle w:val="TableText"/>
              <w:ind w:left="427"/>
              <w:spacing w:before="101" w:line="233" w:lineRule="auto"/>
              <w:rPr/>
            </w:pPr>
            <w:r>
              <w:rPr>
                <w:spacing w:val="-8"/>
              </w:rPr>
              <w:t>≥1</w:t>
            </w:r>
          </w:p>
        </w:tc>
      </w:tr>
    </w:tbl>
    <w:p>
      <w:pPr>
        <w:pStyle w:val="BodyText"/>
        <w:ind w:left="5" w:right="61"/>
        <w:spacing w:before="211" w:line="270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spacing w:val="10"/>
        </w:rPr>
        <w:t>7.4.6      </w:t>
      </w:r>
      <w:r>
        <w:rPr>
          <w:sz w:val="20"/>
          <w:szCs w:val="20"/>
          <w:spacing w:val="10"/>
        </w:rPr>
        <w:t>年预计雷击次数大于0.25</w:t>
      </w:r>
      <w:r>
        <w:rPr>
          <w:sz w:val="20"/>
          <w:szCs w:val="20"/>
          <w:spacing w:val="9"/>
        </w:rPr>
        <w:t>的住宅建筑应按不低于第二类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8"/>
        </w:rPr>
        <w:t>防雷建筑物采取相应的防雷措施。其他可能发生地闪地区的住宅</w:t>
      </w:r>
      <w:r>
        <w:rPr>
          <w:sz w:val="20"/>
          <w:szCs w:val="20"/>
          <w:spacing w:val="7"/>
        </w:rPr>
        <w:t xml:space="preserve"> </w:t>
      </w:r>
      <w:r>
        <w:rPr>
          <w:sz w:val="20"/>
          <w:szCs w:val="20"/>
          <w:spacing w:val="7"/>
        </w:rPr>
        <w:t>建筑，应按不低于第三类防雷建筑物采取相应的防雷措施。</w:t>
      </w:r>
    </w:p>
    <w:p>
      <w:pPr>
        <w:pStyle w:val="BodyText"/>
        <w:ind w:left="5" w:right="58"/>
        <w:spacing w:before="65" w:line="264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spacing w:val="10"/>
        </w:rPr>
        <w:t>7.4.7      </w:t>
      </w:r>
      <w:r>
        <w:rPr>
          <w:sz w:val="20"/>
          <w:szCs w:val="20"/>
          <w:spacing w:val="10"/>
        </w:rPr>
        <w:t>进出住宅建筑的金属管道应与住宅建筑接地装置做等电</w:t>
      </w:r>
      <w:r>
        <w:rPr>
          <w:sz w:val="20"/>
          <w:szCs w:val="20"/>
          <w:spacing w:val="11"/>
        </w:rPr>
        <w:t xml:space="preserve"> </w:t>
      </w:r>
      <w:r>
        <w:rPr>
          <w:sz w:val="20"/>
          <w:szCs w:val="20"/>
          <w:spacing w:val="8"/>
        </w:rPr>
        <w:t>位联结。装有固定浴盆或淋浴器的卫生间应设等电位联结作为附</w:t>
      </w:r>
      <w:r>
        <w:rPr>
          <w:sz w:val="20"/>
          <w:szCs w:val="20"/>
          <w:spacing w:val="3"/>
        </w:rPr>
        <w:t xml:space="preserve"> </w:t>
      </w:r>
      <w:r>
        <w:rPr>
          <w:sz w:val="20"/>
          <w:szCs w:val="20"/>
          <w:spacing w:val="5"/>
        </w:rPr>
        <w:t>加防护。</w:t>
      </w:r>
    </w:p>
    <w:p>
      <w:pPr>
        <w:pStyle w:val="BodyText"/>
        <w:ind w:left="2167"/>
        <w:spacing w:before="240" w:line="221" w:lineRule="auto"/>
        <w:outlineLvl w:val="1"/>
        <w:rPr>
          <w:sz w:val="20"/>
          <w:szCs w:val="20"/>
        </w:rPr>
      </w:pPr>
      <w:bookmarkStart w:name="bookmark24" w:id="36"/>
      <w:bookmarkEnd w:id="36"/>
      <w:r>
        <w:rPr>
          <w:sz w:val="20"/>
          <w:szCs w:val="20"/>
          <w:b/>
          <w:bCs/>
          <w:spacing w:val="-9"/>
        </w:rPr>
        <w:t>7.5</w:t>
      </w:r>
      <w:r>
        <w:rPr>
          <w:sz w:val="20"/>
          <w:szCs w:val="20"/>
          <w:spacing w:val="21"/>
        </w:rPr>
        <w:t xml:space="preserve">  </w:t>
      </w:r>
      <w:r>
        <w:rPr>
          <w:sz w:val="20"/>
          <w:szCs w:val="20"/>
          <w:b/>
          <w:bCs/>
          <w:spacing w:val="-9"/>
        </w:rPr>
        <w:t>智</w:t>
      </w:r>
      <w:r>
        <w:rPr>
          <w:sz w:val="20"/>
          <w:szCs w:val="20"/>
          <w:spacing w:val="1"/>
        </w:rPr>
        <w:t xml:space="preserve">  </w:t>
      </w:r>
      <w:r>
        <w:rPr>
          <w:sz w:val="20"/>
          <w:szCs w:val="20"/>
          <w:b/>
          <w:bCs/>
          <w:spacing w:val="-9"/>
        </w:rPr>
        <w:t>能</w:t>
      </w:r>
      <w:r>
        <w:rPr>
          <w:sz w:val="20"/>
          <w:szCs w:val="20"/>
          <w:spacing w:val="28"/>
        </w:rPr>
        <w:t xml:space="preserve">  </w:t>
      </w:r>
      <w:r>
        <w:rPr>
          <w:sz w:val="20"/>
          <w:szCs w:val="20"/>
          <w:b/>
          <w:bCs/>
          <w:spacing w:val="-9"/>
        </w:rPr>
        <w:t>化</w:t>
      </w:r>
    </w:p>
    <w:p>
      <w:pPr>
        <w:pStyle w:val="BodyText"/>
        <w:ind w:left="5"/>
        <w:spacing w:before="231" w:line="219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0"/>
        </w:rPr>
        <w:t>7.5.1      </w:t>
      </w:r>
      <w:r>
        <w:rPr>
          <w:sz w:val="20"/>
          <w:szCs w:val="20"/>
          <w:spacing w:val="10"/>
        </w:rPr>
        <w:t>住宅建筑应设通信系统。在公用电信网络已实现光纤传</w:t>
      </w:r>
    </w:p>
    <w:p>
      <w:pPr>
        <w:spacing w:line="219" w:lineRule="auto"/>
        <w:sectPr>
          <w:footerReference w:type="default" r:id="rId25"/>
          <w:pgSz w:w="7940" w:h="11500"/>
          <w:pgMar w:top="819" w:right="990" w:bottom="1037" w:left="1024" w:header="0" w:footer="856" w:gutter="0"/>
        </w:sectPr>
        <w:rPr>
          <w:sz w:val="20"/>
          <w:szCs w:val="20"/>
        </w:rPr>
      </w:pPr>
    </w:p>
    <w:p>
      <w:pPr>
        <w:pStyle w:val="BodyText"/>
        <w:spacing w:before="39" w:line="219" w:lineRule="auto"/>
        <w:rPr>
          <w:sz w:val="20"/>
          <w:szCs w:val="20"/>
        </w:rPr>
      </w:pPr>
      <w:r>
        <w:rPr>
          <w:sz w:val="20"/>
          <w:szCs w:val="20"/>
          <w:spacing w:val="7"/>
        </w:rPr>
        <w:t>输的地区，住宅建筑的通信设施应采用光缆到户方式。</w:t>
      </w:r>
    </w:p>
    <w:p>
      <w:pPr>
        <w:pStyle w:val="BodyText"/>
        <w:ind w:right="2"/>
        <w:spacing w:before="84" w:line="257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spacing w:val="10"/>
        </w:rPr>
        <w:t>7.5.2      </w:t>
      </w:r>
      <w:r>
        <w:rPr>
          <w:sz w:val="20"/>
          <w:szCs w:val="20"/>
          <w:spacing w:val="10"/>
        </w:rPr>
        <w:t>公共移动通信信号应能覆盖至住宅建筑的公共空间和电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2"/>
        </w:rPr>
        <w:t>梯轿厢内。</w:t>
      </w:r>
    </w:p>
    <w:p>
      <w:pPr>
        <w:pStyle w:val="BodyText"/>
        <w:ind w:right="4"/>
        <w:spacing w:before="71" w:line="262" w:lineRule="auto"/>
        <w:rPr>
          <w:sz w:val="20"/>
          <w:szCs w:val="20"/>
        </w:rPr>
      </w:pPr>
      <w:r>
        <w:rPr>
          <w:rFonts w:ascii="Times New Roman" w:hAnsi="Times New Roman" w:eastAsia="Times New Roman" w:cs="Times New Roman"/>
          <w:sz w:val="20"/>
          <w:szCs w:val="20"/>
          <w:spacing w:val="10"/>
        </w:rPr>
        <w:t>7.5.3      </w:t>
      </w:r>
      <w:r>
        <w:rPr>
          <w:sz w:val="20"/>
          <w:szCs w:val="20"/>
          <w:spacing w:val="10"/>
        </w:rPr>
        <w:t>住宅建筑应设有线电视系统。有线电视设施应采用</w:t>
      </w:r>
      <w:r>
        <w:rPr>
          <w:sz w:val="20"/>
          <w:szCs w:val="20"/>
          <w:spacing w:val="9"/>
        </w:rPr>
        <w:t>光缆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4"/>
        </w:rPr>
        <w:t>或同轴电缆以独立专线方式建设。</w:t>
      </w:r>
    </w:p>
    <w:p>
      <w:pPr>
        <w:pStyle w:val="BodyText"/>
        <w:ind w:right="5" w:firstLine="2"/>
        <w:spacing w:before="65" w:line="252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1"/>
        </w:rPr>
        <w:t>7.5.4</w:t>
      </w:r>
      <w:r>
        <w:rPr>
          <w:sz w:val="20"/>
          <w:szCs w:val="20"/>
          <w:spacing w:val="11"/>
        </w:rPr>
        <w:t xml:space="preserve">  新建住宅项目的智能化系统设备用房和</w:t>
      </w:r>
      <w:r>
        <w:rPr>
          <w:sz w:val="20"/>
          <w:szCs w:val="20"/>
          <w:spacing w:val="10"/>
        </w:rPr>
        <w:t>室外地下智能化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4"/>
        </w:rPr>
        <w:t>系统管道应与住宅项目同步建设。</w:t>
      </w:r>
    </w:p>
    <w:p>
      <w:pPr>
        <w:pStyle w:val="BodyText"/>
        <w:ind w:left="2"/>
        <w:spacing w:before="92" w:line="219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5"/>
        </w:rPr>
        <w:t>7.5.5</w:t>
      </w:r>
      <w:r>
        <w:rPr>
          <w:sz w:val="20"/>
          <w:szCs w:val="20"/>
          <w:spacing w:val="5"/>
        </w:rPr>
        <w:t xml:space="preserve">  每套住宅应设家居配线箱，并应符合下列规定：</w:t>
      </w:r>
    </w:p>
    <w:p>
      <w:pPr>
        <w:pStyle w:val="BodyText"/>
        <w:ind w:right="5" w:firstLine="412"/>
        <w:spacing w:before="53" w:line="261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6"/>
        </w:rPr>
        <w:t>1</w:t>
      </w:r>
      <w:r>
        <w:rPr>
          <w:sz w:val="20"/>
          <w:szCs w:val="20"/>
          <w:spacing w:val="16"/>
        </w:rPr>
        <w:t xml:space="preserve">  家居配线箱的进线管不应少于2根，有源家居配线箱应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设供电电源；</w:t>
      </w:r>
    </w:p>
    <w:p>
      <w:pPr>
        <w:pStyle w:val="BodyText"/>
        <w:ind w:firstLine="412"/>
        <w:spacing w:before="73" w:line="253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3"/>
        </w:rPr>
        <w:t>2</w:t>
      </w:r>
      <w:r>
        <w:rPr>
          <w:sz w:val="20"/>
          <w:szCs w:val="20"/>
          <w:spacing w:val="6"/>
        </w:rPr>
        <w:t xml:space="preserve">  </w:t>
      </w:r>
      <w:r>
        <w:rPr>
          <w:sz w:val="20"/>
          <w:szCs w:val="20"/>
          <w:spacing w:val="13"/>
        </w:rPr>
        <w:t>起居室或兼起居室的卧室应设通信系统信息端口和有线</w:t>
      </w:r>
      <w:r>
        <w:rPr>
          <w:sz w:val="20"/>
          <w:szCs w:val="20"/>
          <w:spacing w:val="1"/>
        </w:rPr>
        <w:t xml:space="preserve"> </w:t>
      </w:r>
      <w:r>
        <w:rPr>
          <w:sz w:val="20"/>
          <w:szCs w:val="20"/>
          <w:spacing w:val="3"/>
        </w:rPr>
        <w:t>电视系统信息端口；</w:t>
      </w:r>
    </w:p>
    <w:p>
      <w:pPr>
        <w:pStyle w:val="BodyText"/>
        <w:ind w:firstLine="412"/>
        <w:spacing w:before="82" w:line="262" w:lineRule="auto"/>
        <w:rPr>
          <w:sz w:val="20"/>
          <w:szCs w:val="20"/>
        </w:rPr>
      </w:pPr>
      <w:r>
        <w:rPr>
          <w:sz w:val="20"/>
          <w:szCs w:val="20"/>
          <w:b/>
          <w:bCs/>
          <w:spacing w:val="13"/>
        </w:rPr>
        <w:t>3</w:t>
      </w:r>
      <w:r>
        <w:rPr>
          <w:sz w:val="20"/>
          <w:szCs w:val="20"/>
          <w:spacing w:val="6"/>
        </w:rPr>
        <w:t xml:space="preserve">  </w:t>
      </w:r>
      <w:r>
        <w:rPr>
          <w:sz w:val="20"/>
          <w:szCs w:val="20"/>
          <w:spacing w:val="13"/>
        </w:rPr>
        <w:t>家居配线箱的出线管应敷设到通信系统信息端口和有线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3"/>
        </w:rPr>
        <w:t>电视系统信息端口。</w:t>
      </w:r>
    </w:p>
    <w:p>
      <w:pPr>
        <w:pStyle w:val="BodyText"/>
        <w:ind w:right="5"/>
        <w:spacing w:before="63" w:line="288" w:lineRule="auto"/>
        <w:rPr>
          <w:sz w:val="20"/>
          <w:szCs w:val="20"/>
        </w:rPr>
      </w:pPr>
      <w: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-6353</wp:posOffset>
            </wp:positionH>
            <wp:positionV relativeFrom="paragraph">
              <wp:posOffset>244491</wp:posOffset>
            </wp:positionV>
            <wp:extent cx="133358" cy="6350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3358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20"/>
          <w:szCs w:val="20"/>
          <w:b/>
          <w:bCs/>
          <w:spacing w:val="10"/>
        </w:rPr>
        <w:t>7.5.6      </w:t>
      </w:r>
      <w:r>
        <w:rPr>
          <w:sz w:val="20"/>
          <w:szCs w:val="20"/>
          <w:spacing w:val="10"/>
        </w:rPr>
        <w:t>住宅建筑疏散通道上和出入口处的门禁应具备紧</w:t>
      </w:r>
      <w:r>
        <w:rPr>
          <w:sz w:val="20"/>
          <w:szCs w:val="20"/>
          <w:spacing w:val="9"/>
        </w:rPr>
        <w:t>急情况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spacing w:val="5"/>
        </w:rPr>
        <w:t>下</w:t>
      </w:r>
      <w:r>
        <w:rPr>
          <w:sz w:val="20"/>
          <w:szCs w:val="20"/>
          <w:spacing w:val="5"/>
        </w:rPr>
        <w:t>就地从内部手动解除的功能。</w:t>
      </w:r>
    </w:p>
    <w:sectPr>
      <w:footerReference w:type="default" r:id="rId26"/>
      <w:pgSz w:w="7940" w:h="11500"/>
      <w:pgMar w:top="857" w:right="1055" w:bottom="1011" w:left="1029" w:header="0" w:footer="867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Times New Roman">
    <w:panose1 w:val="02020603050405020304"/>
    <w:charset w:val="00"/>
    <w:family w:val="auto"/>
    <w:pitch w:val="variable"/>
    <w:sig w:usb0="E0002EFF" w:usb1="C000785B" w:usb2="00000009" w:usb3="00000000" w:csb0="400001FF" w:csb1="FFFF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2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4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600"/>
      <w:spacing w:line="172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5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39"/>
      <w:spacing w:line="179" w:lineRule="auto"/>
      <w:rPr>
        <w:rFonts w:ascii="Times New Roman" w:hAnsi="Times New Roman" w:eastAsia="Times New Roman" w:cs="Times New Roman"/>
        <w:sz w:val="23"/>
        <w:szCs w:val="23"/>
      </w:rPr>
    </w:pPr>
    <w:r>
      <w:rPr>
        <w:rFonts w:ascii="Times New Roman" w:hAnsi="Times New Roman" w:eastAsia="Times New Roman" w:cs="Times New Roman"/>
        <w:sz w:val="23"/>
        <w:szCs w:val="23"/>
      </w:rPr>
      <w:t>6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579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1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4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2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594"/>
      <w:spacing w:line="177" w:lineRule="auto"/>
      <w:rPr>
        <w:rFonts w:ascii="Times New Roman" w:hAnsi="Times New Roman" w:eastAsia="Times New Roman" w:cs="Times New Roman"/>
        <w:sz w:val="20"/>
        <w:szCs w:val="20"/>
      </w:rPr>
    </w:pPr>
    <w:r>
      <w:rPr>
        <w:rFonts w:ascii="Times New Roman" w:hAnsi="Times New Roman" w:eastAsia="Times New Roman" w:cs="Times New Roman"/>
        <w:sz w:val="20"/>
        <w:szCs w:val="20"/>
      </w:rPr>
      <w:t>3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4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4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594"/>
      <w:spacing w:line="172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5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54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6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600"/>
      <w:spacing w:line="172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7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5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8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60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</w:rPr>
      <w:t>9</w:t>
    </w:r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40"/>
      <w:spacing w:line="177" w:lineRule="auto"/>
      <w:rPr>
        <w:rFonts w:ascii="Times New Roman" w:hAnsi="Times New Roman" w:eastAsia="Times New Roman" w:cs="Times New Roman"/>
        <w:sz w:val="20"/>
        <w:szCs w:val="20"/>
      </w:rPr>
    </w:pPr>
    <w:r>
      <w:rPr>
        <w:rFonts w:ascii="Times New Roman" w:hAnsi="Times New Roman" w:eastAsia="Times New Roman" w:cs="Times New Roman"/>
        <w:sz w:val="20"/>
        <w:szCs w:val="20"/>
        <w:spacing w:val="-6"/>
      </w:rPr>
      <w:t>10</w:t>
    </w:r>
  </w:p>
</w:ftr>
</file>

<file path=word/footer1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49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11</w:t>
    </w:r>
  </w:p>
</w:ftr>
</file>

<file path=word/footer1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3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12</w:t>
    </w:r>
  </w:p>
</w:ftr>
</file>

<file path=word/footer1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49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13</w:t>
    </w:r>
  </w:p>
</w:ftr>
</file>

<file path=word/footer1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39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14</w:t>
    </w:r>
  </w:p>
</w:ftr>
</file>

<file path=word/footer1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49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15</w:t>
    </w:r>
  </w:p>
</w:ftr>
</file>

<file path=word/footer1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64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16</w:t>
    </w:r>
  </w:p>
</w:ftr>
</file>

<file path=word/footer2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495"/>
      <w:spacing w:line="177" w:lineRule="auto"/>
      <w:rPr>
        <w:rFonts w:ascii="Times New Roman" w:hAnsi="Times New Roman" w:eastAsia="Times New Roman" w:cs="Times New Roman"/>
        <w:sz w:val="20"/>
        <w:szCs w:val="20"/>
      </w:rPr>
    </w:pPr>
    <w:r>
      <w:rPr>
        <w:rFonts w:ascii="Times New Roman" w:hAnsi="Times New Roman" w:eastAsia="Times New Roman" w:cs="Times New Roman"/>
        <w:sz w:val="20"/>
        <w:szCs w:val="20"/>
        <w:spacing w:val="-6"/>
      </w:rPr>
      <w:t>17</w:t>
    </w:r>
  </w:p>
</w:ftr>
</file>

<file path=word/footer2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3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18</w:t>
    </w:r>
  </w:p>
</w:ftr>
</file>

<file path=word/footer2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51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5"/>
      </w:rPr>
      <w:t>19</w:t>
    </w:r>
  </w:p>
</w:ftr>
</file>

<file path=word/footer2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49"/>
      <w:spacing w:line="177" w:lineRule="auto"/>
      <w:rPr>
        <w:rFonts w:ascii="Times New Roman" w:hAnsi="Times New Roman" w:eastAsia="Times New Roman" w:cs="Times New Roman"/>
        <w:sz w:val="20"/>
        <w:szCs w:val="20"/>
      </w:rPr>
    </w:pPr>
    <w:r>
      <w:rPr>
        <w:rFonts w:ascii="Times New Roman" w:hAnsi="Times New Roman" w:eastAsia="Times New Roman" w:cs="Times New Roman"/>
        <w:sz w:val="20"/>
        <w:szCs w:val="20"/>
        <w:spacing w:val="-2"/>
      </w:rPr>
      <w:t>20</w:t>
    </w:r>
  </w:p>
</w:ftr>
</file>

<file path=word/footer2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495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1"/>
      </w:rPr>
      <w:t>21</w:t>
    </w:r>
  </w:p>
</w:ftr>
</file>

<file path=word/footer2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154"/>
      <w:spacing w:line="177" w:lineRule="auto"/>
      <w:rPr>
        <w:rFonts w:ascii="Times New Roman" w:hAnsi="Times New Roman" w:eastAsia="Times New Roman" w:cs="Times New Roman"/>
        <w:sz w:val="20"/>
        <w:szCs w:val="20"/>
      </w:rPr>
    </w:pPr>
    <w:r>
      <w:rPr>
        <w:rFonts w:ascii="Times New Roman" w:hAnsi="Times New Roman" w:eastAsia="Times New Roman" w:cs="Times New Roman"/>
        <w:sz w:val="20"/>
        <w:szCs w:val="20"/>
        <w:spacing w:val="-2"/>
      </w:rPr>
      <w:t>22</w:t>
    </w:r>
  </w:p>
</w:ftr>
</file>

<file path=word/footer2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5490"/>
      <w:spacing w:line="175" w:lineRule="auto"/>
      <w:rPr>
        <w:rFonts w:ascii="Times New Roman" w:hAnsi="Times New Roman" w:eastAsia="Times New Roman" w:cs="Times New Roman"/>
        <w:sz w:val="16"/>
        <w:szCs w:val="16"/>
      </w:rPr>
    </w:pPr>
    <w:r>
      <w:rPr>
        <w:rFonts w:ascii="Times New Roman" w:hAnsi="Times New Roman" w:eastAsia="Times New Roman" w:cs="Times New Roman"/>
        <w:sz w:val="16"/>
        <w:szCs w:val="16"/>
        <w:spacing w:val="-1"/>
      </w:rPr>
      <w:t>23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21"/>
      <w:szCs w:val="2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SimSun" w:hAnsi="SimSun" w:eastAsia="SimSun" w:cs="SimSun"/>
      <w:sz w:val="16"/>
      <w:szCs w:val="16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9.xml"/><Relationship Id="rId8" Type="http://schemas.openxmlformats.org/officeDocument/2006/relationships/footer" Target="footer8.xml"/><Relationship Id="rId7" Type="http://schemas.openxmlformats.org/officeDocument/2006/relationships/footer" Target="footer7.xml"/><Relationship Id="rId6" Type="http://schemas.openxmlformats.org/officeDocument/2006/relationships/footer" Target="footer6.xml"/><Relationship Id="rId5" Type="http://schemas.openxmlformats.org/officeDocument/2006/relationships/footer" Target="footer5.xml"/><Relationship Id="rId4" Type="http://schemas.openxmlformats.org/officeDocument/2006/relationships/footer" Target="footer4.xml"/><Relationship Id="rId30" Type="http://schemas.openxmlformats.org/officeDocument/2006/relationships/fontTable" Target="fontTable.xml"/><Relationship Id="rId3" Type="http://schemas.openxmlformats.org/officeDocument/2006/relationships/footer" Target="footer3.xml"/><Relationship Id="rId29" Type="http://schemas.openxmlformats.org/officeDocument/2006/relationships/styles" Target="styles.xml"/><Relationship Id="rId28" Type="http://schemas.openxmlformats.org/officeDocument/2006/relationships/settings" Target="settings.xml"/><Relationship Id="rId27" Type="http://schemas.openxmlformats.org/officeDocument/2006/relationships/image" Target="media/image1.jpeg"/><Relationship Id="rId26" Type="http://schemas.openxmlformats.org/officeDocument/2006/relationships/footer" Target="footer26.xml"/><Relationship Id="rId25" Type="http://schemas.openxmlformats.org/officeDocument/2006/relationships/footer" Target="footer25.xml"/><Relationship Id="rId24" Type="http://schemas.openxmlformats.org/officeDocument/2006/relationships/footer" Target="footer24.xml"/><Relationship Id="rId23" Type="http://schemas.openxmlformats.org/officeDocument/2006/relationships/footer" Target="footer23.xml"/><Relationship Id="rId22" Type="http://schemas.openxmlformats.org/officeDocument/2006/relationships/footer" Target="footer22.xml"/><Relationship Id="rId21" Type="http://schemas.openxmlformats.org/officeDocument/2006/relationships/footer" Target="footer21.xml"/><Relationship Id="rId20" Type="http://schemas.openxmlformats.org/officeDocument/2006/relationships/footer" Target="footer20.xml"/><Relationship Id="rId2" Type="http://schemas.openxmlformats.org/officeDocument/2006/relationships/footer" Target="footer2.xml"/><Relationship Id="rId19" Type="http://schemas.openxmlformats.org/officeDocument/2006/relationships/footer" Target="footer19.xml"/><Relationship Id="rId18" Type="http://schemas.openxmlformats.org/officeDocument/2006/relationships/footer" Target="footer18.xml"/><Relationship Id="rId17" Type="http://schemas.openxmlformats.org/officeDocument/2006/relationships/footer" Target="footer17.xml"/><Relationship Id="rId16" Type="http://schemas.openxmlformats.org/officeDocument/2006/relationships/footer" Target="footer16.xml"/><Relationship Id="rId15" Type="http://schemas.openxmlformats.org/officeDocument/2006/relationships/footer" Target="footer15.xml"/><Relationship Id="rId14" Type="http://schemas.openxmlformats.org/officeDocument/2006/relationships/footer" Target="footer14.xml"/><Relationship Id="rId13" Type="http://schemas.openxmlformats.org/officeDocument/2006/relationships/footer" Target="footer13.xml"/><Relationship Id="rId12" Type="http://schemas.openxmlformats.org/officeDocument/2006/relationships/footer" Target="footer12.xml"/><Relationship Id="rId11" Type="http://schemas.openxmlformats.org/officeDocument/2006/relationships/footer" Target="footer11.xml"/><Relationship Id="rId10" Type="http://schemas.openxmlformats.org/officeDocument/2006/relationships/footer" Target="footer10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2025-04-01T12:35:24Z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wqlLaW5nc29mdCBQREYgdG8gV1BTIDExMEI</vt:lpwstr>
  </property>
  <property fmtid="{D5CDD505-2E9C-101B-9397-08002B2CF9AE}" pid="3" name="Created">
    <vt:filetime>2025-04-01T12:35:26</vt:filetime>
  </property>
  <property fmtid="{D5CDD505-2E9C-101B-9397-08002B2CF9AE}" pid="4" name="UsrData">
    <vt:lpwstr>67eb6d0a12ecda001fcc4662wl</vt:lpwstr>
  </property>
</Properties>
</file>